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22"/>
        </w:tabs>
        <w:kinsoku/>
        <w:wordWrap/>
        <w:overflowPunct/>
        <w:topLinePunct w:val="0"/>
        <w:autoSpaceDE/>
        <w:autoSpaceDN/>
        <w:bidi w:val="0"/>
        <w:adjustRightInd w:val="0"/>
        <w:snapToGrid w:val="0"/>
        <w:spacing w:line="460" w:lineRule="exact"/>
        <w:textAlignment w:val="auto"/>
        <w:rPr>
          <w:rFonts w:hint="eastAsia" w:eastAsia="黑体" w:cs="黑体"/>
          <w:b/>
          <w:bCs/>
          <w:spacing w:val="-20"/>
          <w:kern w:val="10"/>
          <w:position w:val="-6"/>
          <w:sz w:val="13"/>
          <w:szCs w:val="13"/>
        </w:rPr>
      </w:pPr>
      <w:r>
        <w:rPr>
          <w:rFonts w:eastAsia="黑体" w:cs="黑体"/>
          <w:b/>
          <w:bCs/>
          <w:spacing w:val="-20"/>
          <w:kern w:val="10"/>
          <w:position w:val="-6"/>
          <w:sz w:val="13"/>
          <w:szCs w:val="13"/>
        </w:rPr>
        <w:tab/>
      </w:r>
    </w:p>
    <w:p>
      <w:pPr>
        <w:rPr>
          <w:rFonts w:hint="eastAsia" w:ascii="黑体" w:hAnsi="黑体" w:eastAsia="黑体" w:cs="黑体"/>
          <w:sz w:val="32"/>
          <w:szCs w:val="32"/>
        </w:rPr>
      </w:pPr>
    </w:p>
    <w:p>
      <w:pPr>
        <w:jc w:val="center"/>
        <w:rPr>
          <w:b/>
          <w:sz w:val="36"/>
          <w:szCs w:val="36"/>
        </w:rPr>
      </w:pPr>
      <w:r>
        <w:drawing>
          <wp:inline distT="0" distB="0" distL="114300" distR="114300">
            <wp:extent cx="4291330" cy="106553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291330" cy="1065530"/>
                    </a:xfrm>
                    <a:prstGeom prst="rect">
                      <a:avLst/>
                    </a:prstGeom>
                    <a:noFill/>
                    <a:ln>
                      <a:noFill/>
                    </a:ln>
                  </pic:spPr>
                </pic:pic>
              </a:graphicData>
            </a:graphic>
          </wp:inline>
        </w:drawing>
      </w:r>
    </w:p>
    <w:p>
      <w:pPr>
        <w:pStyle w:val="3"/>
        <w:spacing w:line="1120" w:lineRule="exact"/>
        <w:ind w:right="225" w:rightChars="107"/>
        <w:jc w:val="both"/>
        <w:rPr>
          <w:rFonts w:hint="eastAsia" w:ascii="黑体" w:eastAsia="黑体"/>
          <w:b/>
          <w:w w:val="100"/>
          <w:sz w:val="72"/>
          <w:szCs w:val="72"/>
        </w:rPr>
      </w:pPr>
    </w:p>
    <w:p>
      <w:pPr>
        <w:pStyle w:val="3"/>
        <w:spacing w:line="1120" w:lineRule="exact"/>
        <w:ind w:right="225" w:rightChars="107"/>
        <w:jc w:val="center"/>
        <w:rPr>
          <w:rFonts w:ascii="黑体" w:eastAsia="黑体"/>
          <w:b/>
          <w:spacing w:val="100"/>
          <w:w w:val="90"/>
          <w:sz w:val="72"/>
          <w:szCs w:val="72"/>
        </w:rPr>
      </w:pPr>
      <w:r>
        <w:rPr>
          <w:rFonts w:hint="eastAsia" w:ascii="黑体" w:eastAsia="黑体"/>
          <w:b/>
          <w:w w:val="100"/>
          <w:sz w:val="72"/>
          <w:szCs w:val="72"/>
          <w:lang w:val="en-US" w:eastAsia="zh-CN"/>
        </w:rPr>
        <w:t xml:space="preserve"> </w:t>
      </w:r>
      <w:r>
        <w:rPr>
          <w:rFonts w:hint="eastAsia" w:ascii="黑体" w:eastAsia="黑体"/>
          <w:b/>
          <w:w w:val="90"/>
          <w:sz w:val="72"/>
          <w:szCs w:val="72"/>
          <w:lang w:val="en-US" w:eastAsia="zh-CN"/>
        </w:rPr>
        <w:t xml:space="preserve"> 本科</w:t>
      </w:r>
      <w:r>
        <w:rPr>
          <w:rFonts w:hint="eastAsia" w:ascii="黑体" w:eastAsia="黑体"/>
          <w:b/>
          <w:w w:val="90"/>
          <w:sz w:val="72"/>
          <w:szCs w:val="72"/>
        </w:rPr>
        <w:t>专业</w:t>
      </w:r>
      <w:r>
        <w:rPr>
          <w:rFonts w:hint="eastAsia" w:ascii="黑体" w:eastAsia="黑体"/>
          <w:b/>
          <w:w w:val="90"/>
          <w:sz w:val="72"/>
          <w:szCs w:val="72"/>
          <w:lang w:val="en-US" w:eastAsia="zh-CN"/>
        </w:rPr>
        <w:t>评估自评报</w:t>
      </w:r>
      <w:r>
        <w:rPr>
          <w:rFonts w:hint="eastAsia" w:ascii="黑体" w:eastAsia="黑体"/>
          <w:b/>
          <w:spacing w:val="100"/>
          <w:w w:val="90"/>
          <w:sz w:val="72"/>
          <w:szCs w:val="72"/>
        </w:rPr>
        <w:t>告</w:t>
      </w:r>
    </w:p>
    <w:p>
      <w:pPr>
        <w:jc w:val="both"/>
        <w:rPr>
          <w:b/>
          <w:sz w:val="36"/>
          <w:szCs w:val="36"/>
        </w:rPr>
      </w:pPr>
    </w:p>
    <w:tbl>
      <w:tblPr>
        <w:tblStyle w:val="8"/>
        <w:tblW w:w="0" w:type="auto"/>
        <w:jc w:val="center"/>
        <w:tblLayout w:type="autofit"/>
        <w:tblCellMar>
          <w:top w:w="0" w:type="dxa"/>
          <w:left w:w="108" w:type="dxa"/>
          <w:bottom w:w="0" w:type="dxa"/>
          <w:right w:w="108" w:type="dxa"/>
        </w:tblCellMar>
      </w:tblPr>
      <w:tblGrid>
        <w:gridCol w:w="2862"/>
        <w:gridCol w:w="4530"/>
      </w:tblGrid>
      <w:tr>
        <w:tblPrEx>
          <w:tblCellMar>
            <w:top w:w="0" w:type="dxa"/>
            <w:left w:w="108" w:type="dxa"/>
            <w:bottom w:w="0" w:type="dxa"/>
            <w:right w:w="108" w:type="dxa"/>
          </w:tblCellMar>
        </w:tblPrEx>
        <w:trPr>
          <w:jc w:val="center"/>
        </w:trPr>
        <w:tc>
          <w:tcPr>
            <w:tcW w:w="2862" w:type="dxa"/>
            <w:noWrap w:val="0"/>
            <w:vAlign w:val="center"/>
          </w:tcPr>
          <w:p>
            <w:pPr>
              <w:keepNext w:val="0"/>
              <w:keepLines w:val="0"/>
              <w:pageBreakBefore w:val="0"/>
              <w:widowControl w:val="0"/>
              <w:kinsoku/>
              <w:wordWrap/>
              <w:overflowPunct/>
              <w:topLinePunct w:val="0"/>
              <w:autoSpaceDE/>
              <w:autoSpaceDN/>
              <w:bidi w:val="0"/>
              <w:spacing w:line="800" w:lineRule="exact"/>
              <w:jc w:val="distribute"/>
              <w:rPr>
                <w:rFonts w:hint="eastAsia" w:cs="宋体"/>
                <w:b/>
                <w:bCs/>
                <w:spacing w:val="6"/>
                <w:sz w:val="30"/>
                <w:szCs w:val="30"/>
              </w:rPr>
            </w:pPr>
            <w:r>
              <w:rPr>
                <w:rFonts w:hint="eastAsia" w:cs="宋体"/>
                <w:b/>
                <w:bCs/>
                <w:spacing w:val="6"/>
                <w:sz w:val="30"/>
                <w:szCs w:val="30"/>
              </w:rPr>
              <w:t>专业</w:t>
            </w:r>
            <w:r>
              <w:rPr>
                <w:rFonts w:hint="eastAsia" w:cs="宋体"/>
                <w:b/>
                <w:bCs/>
                <w:sz w:val="30"/>
                <w:szCs w:val="30"/>
              </w:rPr>
              <w:t>名称：</w:t>
            </w:r>
          </w:p>
        </w:tc>
        <w:tc>
          <w:tcPr>
            <w:tcW w:w="45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800" w:lineRule="exact"/>
              <w:jc w:val="center"/>
              <w:rPr>
                <w:rFonts w:hint="default" w:eastAsia="宋体" w:cs="宋体"/>
                <w:b/>
                <w:bCs/>
                <w:spacing w:val="6"/>
                <w:sz w:val="30"/>
                <w:szCs w:val="30"/>
                <w:lang w:val="en-US" w:eastAsia="zh-CN"/>
              </w:rPr>
            </w:pPr>
            <w:r>
              <w:rPr>
                <w:rFonts w:hint="eastAsia" w:cs="宋体"/>
                <w:b/>
                <w:bCs/>
                <w:spacing w:val="6"/>
                <w:sz w:val="30"/>
                <w:szCs w:val="30"/>
                <w:lang w:val="en-US" w:eastAsia="zh-CN"/>
              </w:rPr>
              <w:t>舞蹈教育</w:t>
            </w:r>
          </w:p>
        </w:tc>
      </w:tr>
      <w:tr>
        <w:tblPrEx>
          <w:tblCellMar>
            <w:top w:w="0" w:type="dxa"/>
            <w:left w:w="108" w:type="dxa"/>
            <w:bottom w:w="0" w:type="dxa"/>
            <w:right w:w="108" w:type="dxa"/>
          </w:tblCellMar>
        </w:tblPrEx>
        <w:trPr>
          <w:jc w:val="center"/>
        </w:trPr>
        <w:tc>
          <w:tcPr>
            <w:tcW w:w="2862" w:type="dxa"/>
            <w:noWrap w:val="0"/>
            <w:vAlign w:val="center"/>
          </w:tcPr>
          <w:p>
            <w:pPr>
              <w:keepNext w:val="0"/>
              <w:keepLines w:val="0"/>
              <w:pageBreakBefore w:val="0"/>
              <w:widowControl w:val="0"/>
              <w:kinsoku/>
              <w:wordWrap/>
              <w:overflowPunct/>
              <w:topLinePunct w:val="0"/>
              <w:autoSpaceDE/>
              <w:autoSpaceDN/>
              <w:bidi w:val="0"/>
              <w:spacing w:line="800" w:lineRule="exact"/>
              <w:jc w:val="distribute"/>
              <w:rPr>
                <w:rFonts w:hint="eastAsia" w:cs="宋体"/>
                <w:b/>
                <w:bCs/>
                <w:spacing w:val="6"/>
                <w:sz w:val="30"/>
                <w:szCs w:val="30"/>
              </w:rPr>
            </w:pPr>
            <w:r>
              <w:rPr>
                <w:rFonts w:hint="eastAsia" w:cs="宋体"/>
                <w:b/>
                <w:bCs/>
                <w:sz w:val="30"/>
                <w:szCs w:val="30"/>
              </w:rPr>
              <w:t>所属</w:t>
            </w:r>
            <w:r>
              <w:rPr>
                <w:rFonts w:hint="eastAsia" w:cs="宋体"/>
                <w:b/>
                <w:bCs/>
                <w:sz w:val="30"/>
                <w:szCs w:val="30"/>
                <w:lang w:val="en-US" w:eastAsia="zh-CN"/>
              </w:rPr>
              <w:t>学院</w:t>
            </w:r>
            <w:r>
              <w:rPr>
                <w:rFonts w:hint="eastAsia" w:cs="宋体"/>
                <w:b/>
                <w:bCs/>
                <w:sz w:val="30"/>
                <w:szCs w:val="30"/>
              </w:rPr>
              <w:t>：</w:t>
            </w:r>
          </w:p>
        </w:tc>
        <w:tc>
          <w:tcPr>
            <w:tcW w:w="453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800" w:lineRule="exact"/>
              <w:jc w:val="center"/>
              <w:rPr>
                <w:rFonts w:hint="eastAsia" w:cs="宋体"/>
                <w:b/>
                <w:bCs/>
                <w:spacing w:val="6"/>
                <w:sz w:val="30"/>
                <w:szCs w:val="30"/>
              </w:rPr>
            </w:pPr>
            <w:r>
              <w:rPr>
                <w:rFonts w:hint="eastAsia" w:cs="宋体"/>
                <w:b/>
                <w:bCs/>
                <w:spacing w:val="6"/>
                <w:sz w:val="30"/>
                <w:szCs w:val="30"/>
                <w:lang w:val="en-US" w:eastAsia="zh-CN"/>
              </w:rPr>
              <w:t>文学艺术学院</w:t>
            </w:r>
          </w:p>
        </w:tc>
      </w:tr>
      <w:tr>
        <w:tblPrEx>
          <w:tblCellMar>
            <w:top w:w="0" w:type="dxa"/>
            <w:left w:w="108" w:type="dxa"/>
            <w:bottom w:w="0" w:type="dxa"/>
            <w:right w:w="108" w:type="dxa"/>
          </w:tblCellMar>
        </w:tblPrEx>
        <w:trPr>
          <w:jc w:val="center"/>
        </w:trPr>
        <w:tc>
          <w:tcPr>
            <w:tcW w:w="2862" w:type="dxa"/>
            <w:noWrap w:val="0"/>
            <w:vAlign w:val="center"/>
          </w:tcPr>
          <w:p>
            <w:pPr>
              <w:keepNext w:val="0"/>
              <w:keepLines w:val="0"/>
              <w:pageBreakBefore w:val="0"/>
              <w:widowControl w:val="0"/>
              <w:kinsoku/>
              <w:wordWrap/>
              <w:overflowPunct/>
              <w:topLinePunct w:val="0"/>
              <w:autoSpaceDE/>
              <w:autoSpaceDN/>
              <w:bidi w:val="0"/>
              <w:spacing w:line="800" w:lineRule="exact"/>
              <w:jc w:val="distribute"/>
              <w:rPr>
                <w:rFonts w:hint="eastAsia" w:eastAsia="宋体" w:cs="宋体"/>
                <w:b/>
                <w:bCs/>
                <w:spacing w:val="6"/>
                <w:sz w:val="30"/>
                <w:szCs w:val="30"/>
                <w:lang w:eastAsia="zh-CN"/>
              </w:rPr>
            </w:pPr>
            <w:r>
              <w:rPr>
                <w:rFonts w:hint="eastAsia" w:ascii="Times New Roman" w:hAnsi="Times New Roman" w:eastAsia="宋体" w:cs="宋体"/>
                <w:b/>
                <w:bCs/>
                <w:spacing w:val="6"/>
                <w:sz w:val="30"/>
                <w:szCs w:val="30"/>
              </w:rPr>
              <w:t>系（教研室</w:t>
            </w:r>
            <w:r>
              <w:rPr>
                <w:rFonts w:hint="eastAsia" w:ascii="Times New Roman" w:hAnsi="Times New Roman" w:eastAsia="宋体" w:cs="宋体"/>
                <w:b/>
                <w:bCs/>
                <w:spacing w:val="6"/>
                <w:sz w:val="30"/>
                <w:szCs w:val="30"/>
                <w:lang w:eastAsia="zh-CN"/>
              </w:rPr>
              <w:t>分）：</w:t>
            </w:r>
          </w:p>
        </w:tc>
        <w:tc>
          <w:tcPr>
            <w:tcW w:w="453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800" w:lineRule="exact"/>
              <w:jc w:val="center"/>
              <w:rPr>
                <w:rFonts w:hint="eastAsia" w:eastAsia="宋体" w:cs="宋体"/>
                <w:b/>
                <w:bCs/>
                <w:spacing w:val="6"/>
                <w:sz w:val="30"/>
                <w:szCs w:val="30"/>
                <w:lang w:val="en-US" w:eastAsia="zh-CN"/>
              </w:rPr>
            </w:pPr>
            <w:r>
              <w:rPr>
                <w:rFonts w:hint="eastAsia" w:cs="宋体"/>
                <w:b/>
                <w:bCs/>
                <w:spacing w:val="6"/>
                <w:sz w:val="30"/>
                <w:szCs w:val="30"/>
                <w:lang w:val="en-US" w:eastAsia="zh-CN"/>
              </w:rPr>
              <w:t>舞蹈教研室</w:t>
            </w:r>
          </w:p>
        </w:tc>
      </w:tr>
      <w:tr>
        <w:tblPrEx>
          <w:tblCellMar>
            <w:top w:w="0" w:type="dxa"/>
            <w:left w:w="108" w:type="dxa"/>
            <w:bottom w:w="0" w:type="dxa"/>
            <w:right w:w="108" w:type="dxa"/>
          </w:tblCellMar>
        </w:tblPrEx>
        <w:trPr>
          <w:jc w:val="center"/>
        </w:trPr>
        <w:tc>
          <w:tcPr>
            <w:tcW w:w="2862" w:type="dxa"/>
            <w:noWrap w:val="0"/>
            <w:vAlign w:val="center"/>
          </w:tcPr>
          <w:p>
            <w:pPr>
              <w:keepNext w:val="0"/>
              <w:keepLines w:val="0"/>
              <w:pageBreakBefore w:val="0"/>
              <w:widowControl w:val="0"/>
              <w:kinsoku/>
              <w:wordWrap/>
              <w:overflowPunct/>
              <w:topLinePunct w:val="0"/>
              <w:autoSpaceDE/>
              <w:autoSpaceDN/>
              <w:bidi w:val="0"/>
              <w:spacing w:line="800" w:lineRule="exact"/>
              <w:jc w:val="distribute"/>
              <w:rPr>
                <w:rFonts w:hint="eastAsia" w:eastAsia="宋体" w:cs="宋体"/>
                <w:b/>
                <w:bCs/>
                <w:sz w:val="30"/>
                <w:szCs w:val="30"/>
                <w:lang w:val="en-US" w:eastAsia="zh-CN"/>
              </w:rPr>
            </w:pPr>
            <w:r>
              <w:rPr>
                <w:rFonts w:hint="eastAsia" w:cs="宋体"/>
                <w:b/>
                <w:bCs/>
                <w:sz w:val="30"/>
                <w:szCs w:val="30"/>
              </w:rPr>
              <w:t>专</w:t>
            </w:r>
            <w:r>
              <w:rPr>
                <w:rFonts w:hint="eastAsia" w:cs="宋体"/>
                <w:b/>
                <w:bCs/>
                <w:spacing w:val="-12"/>
                <w:sz w:val="30"/>
                <w:szCs w:val="30"/>
              </w:rPr>
              <w:t>业负责人</w:t>
            </w:r>
            <w:r>
              <w:rPr>
                <w:rFonts w:hint="eastAsia" w:cs="宋体"/>
                <w:b/>
                <w:bCs/>
                <w:sz w:val="30"/>
                <w:szCs w:val="30"/>
              </w:rPr>
              <w:t>：</w:t>
            </w:r>
          </w:p>
        </w:tc>
        <w:tc>
          <w:tcPr>
            <w:tcW w:w="453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800" w:lineRule="exact"/>
              <w:jc w:val="center"/>
              <w:rPr>
                <w:rFonts w:hint="eastAsia" w:eastAsia="宋体" w:cs="宋体"/>
                <w:b/>
                <w:bCs/>
                <w:spacing w:val="6"/>
                <w:sz w:val="30"/>
                <w:szCs w:val="30"/>
                <w:lang w:val="en-US" w:eastAsia="zh-CN"/>
              </w:rPr>
            </w:pPr>
            <w:r>
              <w:rPr>
                <w:rFonts w:hint="eastAsia" w:cs="宋体"/>
                <w:b/>
                <w:bCs/>
                <w:spacing w:val="6"/>
                <w:sz w:val="30"/>
                <w:szCs w:val="30"/>
                <w:lang w:val="en-US" w:eastAsia="zh-CN"/>
              </w:rPr>
              <w:t>蔡乐</w:t>
            </w:r>
          </w:p>
        </w:tc>
      </w:tr>
      <w:tr>
        <w:tblPrEx>
          <w:tblCellMar>
            <w:top w:w="0" w:type="dxa"/>
            <w:left w:w="108" w:type="dxa"/>
            <w:bottom w:w="0" w:type="dxa"/>
            <w:right w:w="108" w:type="dxa"/>
          </w:tblCellMar>
        </w:tblPrEx>
        <w:trPr>
          <w:jc w:val="center"/>
        </w:trPr>
        <w:tc>
          <w:tcPr>
            <w:tcW w:w="2862" w:type="dxa"/>
            <w:noWrap w:val="0"/>
            <w:vAlign w:val="center"/>
          </w:tcPr>
          <w:p>
            <w:pPr>
              <w:keepNext w:val="0"/>
              <w:keepLines w:val="0"/>
              <w:pageBreakBefore w:val="0"/>
              <w:widowControl w:val="0"/>
              <w:kinsoku/>
              <w:wordWrap/>
              <w:overflowPunct/>
              <w:topLinePunct w:val="0"/>
              <w:autoSpaceDE/>
              <w:autoSpaceDN/>
              <w:bidi w:val="0"/>
              <w:spacing w:line="800" w:lineRule="exact"/>
              <w:jc w:val="distribute"/>
              <w:rPr>
                <w:rFonts w:hint="eastAsia" w:cs="宋体"/>
                <w:b/>
                <w:bCs/>
                <w:sz w:val="30"/>
                <w:szCs w:val="30"/>
                <w:lang w:val="en-US" w:eastAsia="zh-CN"/>
              </w:rPr>
            </w:pPr>
            <w:r>
              <w:rPr>
                <w:rFonts w:hint="eastAsia" w:cs="宋体"/>
                <w:b/>
                <w:bCs/>
                <w:sz w:val="30"/>
                <w:szCs w:val="30"/>
                <w:lang w:val="en-US" w:eastAsia="zh-CN"/>
              </w:rPr>
              <w:t>日   期：</w:t>
            </w:r>
          </w:p>
        </w:tc>
        <w:tc>
          <w:tcPr>
            <w:tcW w:w="453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800" w:lineRule="exact"/>
              <w:jc w:val="center"/>
              <w:rPr>
                <w:rFonts w:hint="default" w:eastAsia="宋体" w:cs="宋体"/>
                <w:b/>
                <w:bCs/>
                <w:spacing w:val="6"/>
                <w:sz w:val="30"/>
                <w:szCs w:val="30"/>
                <w:lang w:val="en-US" w:eastAsia="zh-CN"/>
              </w:rPr>
            </w:pPr>
            <w:r>
              <w:rPr>
                <w:rFonts w:hint="eastAsia" w:cs="宋体"/>
                <w:b/>
                <w:bCs/>
                <w:spacing w:val="6"/>
                <w:sz w:val="30"/>
                <w:szCs w:val="30"/>
                <w:lang w:val="en-US" w:eastAsia="zh-CN"/>
              </w:rPr>
              <w:t>2023年3月8日</w:t>
            </w:r>
          </w:p>
        </w:tc>
      </w:tr>
    </w:tbl>
    <w:p>
      <w:pPr>
        <w:jc w:val="center"/>
        <w:rPr>
          <w:b/>
          <w:sz w:val="36"/>
          <w:szCs w:val="36"/>
        </w:rPr>
      </w:pPr>
    </w:p>
    <w:p>
      <w:pPr>
        <w:jc w:val="center"/>
        <w:rPr>
          <w:b/>
          <w:sz w:val="36"/>
          <w:szCs w:val="36"/>
        </w:rPr>
      </w:pPr>
    </w:p>
    <w:p>
      <w:pPr>
        <w:keepNext w:val="0"/>
        <w:keepLines w:val="0"/>
        <w:pageBreakBefore w:val="0"/>
        <w:widowControl w:val="0"/>
        <w:kinsoku/>
        <w:wordWrap/>
        <w:overflowPunct/>
        <w:topLinePunct w:val="0"/>
        <w:autoSpaceDE/>
        <w:autoSpaceDN/>
        <w:bidi w:val="0"/>
        <w:adjustRightInd w:val="0"/>
        <w:snapToGrid w:val="0"/>
        <w:spacing w:line="300" w:lineRule="auto"/>
        <w:jc w:val="center"/>
        <w:rPr>
          <w:rFonts w:hint="default" w:eastAsia="宋体"/>
          <w:b/>
          <w:bCs/>
          <w:color w:val="auto"/>
          <w:sz w:val="32"/>
          <w:szCs w:val="32"/>
          <w:lang w:val="en-US" w:eastAsia="zh-CN"/>
        </w:rPr>
      </w:pPr>
      <w:r>
        <w:rPr>
          <w:rFonts w:hint="eastAsia" w:cs="宋体"/>
          <w:b/>
          <w:bCs/>
          <w:color w:val="auto"/>
          <w:sz w:val="32"/>
          <w:szCs w:val="32"/>
        </w:rPr>
        <w:t>石河子大学</w:t>
      </w:r>
      <w:r>
        <w:rPr>
          <w:rFonts w:hint="eastAsia" w:cs="宋体"/>
          <w:b/>
          <w:bCs/>
          <w:color w:val="auto"/>
          <w:sz w:val="32"/>
          <w:szCs w:val="32"/>
          <w:lang w:val="en-US" w:eastAsia="zh-CN"/>
        </w:rPr>
        <w:t>教学评估中心制</w:t>
      </w:r>
    </w:p>
    <w:p>
      <w:pPr>
        <w:keepNext w:val="0"/>
        <w:keepLines w:val="0"/>
        <w:pageBreakBefore w:val="0"/>
        <w:widowControl w:val="0"/>
        <w:kinsoku/>
        <w:wordWrap/>
        <w:overflowPunct/>
        <w:topLinePunct w:val="0"/>
        <w:autoSpaceDE/>
        <w:autoSpaceDN/>
        <w:bidi w:val="0"/>
        <w:adjustRightInd w:val="0"/>
        <w:snapToGrid w:val="0"/>
        <w:spacing w:line="300" w:lineRule="auto"/>
        <w:jc w:val="center"/>
        <w:rPr>
          <w:rFonts w:hint="eastAsia" w:ascii="仿宋_GB2312" w:hAnsi="仿宋" w:eastAsia="仿宋_GB2312"/>
          <w:b/>
          <w:bCs/>
          <w:sz w:val="44"/>
          <w:szCs w:val="44"/>
        </w:rPr>
      </w:pPr>
      <w:r>
        <w:rPr>
          <w:rFonts w:hint="eastAsia" w:ascii="仿宋_GB2312" w:hAnsi="仿宋" w:eastAsia="仿宋_GB2312" w:cs="宋体"/>
          <w:b/>
          <w:bCs/>
          <w:sz w:val="44"/>
          <w:szCs w:val="44"/>
          <w:lang w:val="en-US" w:eastAsia="zh-CN"/>
        </w:rPr>
        <w:br w:type="page"/>
      </w:r>
      <w:r>
        <w:rPr>
          <w:rFonts w:hint="eastAsia" w:ascii="仿宋_GB2312" w:hAnsi="仿宋" w:eastAsia="仿宋_GB2312" w:cs="宋体"/>
          <w:b/>
          <w:bCs/>
          <w:sz w:val="44"/>
          <w:szCs w:val="44"/>
          <w:lang w:val="en-US" w:eastAsia="zh-CN"/>
        </w:rPr>
        <w:t>撰写</w:t>
      </w:r>
      <w:r>
        <w:rPr>
          <w:rFonts w:hint="eastAsia" w:ascii="仿宋_GB2312" w:hAnsi="仿宋" w:eastAsia="仿宋_GB2312" w:cs="宋体"/>
          <w:b/>
          <w:bCs/>
          <w:sz w:val="44"/>
          <w:szCs w:val="44"/>
        </w:rPr>
        <w:t>说明</w:t>
      </w:r>
    </w:p>
    <w:p>
      <w:pPr>
        <w:keepNext w:val="0"/>
        <w:keepLines w:val="0"/>
        <w:pageBreakBefore w:val="0"/>
        <w:widowControl w:val="0"/>
        <w:kinsoku/>
        <w:wordWrap/>
        <w:overflowPunct/>
        <w:topLinePunct w:val="0"/>
        <w:autoSpaceDE/>
        <w:autoSpaceDN/>
        <w:bidi w:val="0"/>
        <w:jc w:val="center"/>
        <w:rPr>
          <w:rFonts w:hint="eastAsia"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1.本科专业评估自评报告内容由三部分构成：专业自评报告、专业自评表、专业自评分析表。</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bookmarkStart w:id="0" w:name="OLE_LINK57"/>
      <w:bookmarkStart w:id="1" w:name="OLE_LINK56"/>
      <w:bookmarkStart w:id="2" w:name="OLE_LINK58"/>
      <w:r>
        <w:rPr>
          <w:rFonts w:hint="eastAsia" w:ascii="仿宋_GB2312" w:hAnsi="仿宋" w:eastAsia="仿宋_GB2312" w:cs="宋体"/>
          <w:sz w:val="30"/>
          <w:szCs w:val="30"/>
          <w:lang w:val="en-US" w:eastAsia="zh-CN"/>
        </w:rPr>
        <w:t>2.专业自评报告一般在1500字左右，按要求填写，重点突出，语言精准简练</w:t>
      </w:r>
      <w:bookmarkEnd w:id="0"/>
      <w:bookmarkEnd w:id="1"/>
      <w:bookmarkEnd w:id="2"/>
      <w:r>
        <w:rPr>
          <w:rFonts w:hint="eastAsia" w:ascii="仿宋_GB2312" w:hAnsi="仿宋" w:eastAsia="仿宋_GB2312" w:cs="宋体"/>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3.专业自评分析表。要求对照一级指标下的二级指标观测点及指标内涵，结合专业的状态数据和定性材料梳理专业建设情况，进行自我评价，并对该观测点做出写实性描述、说明，一般在1000字左右，重点说明：现状、建设成效、问题及成因。</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4.自我评价包括：相关标准的达成情况、专业的相关建设情况、优势、不足和计划中的改进措施等。</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5.报告中所用数据，涉及在校生的数据，可提供2019级、2020级、2021级、2022级的数据，五年制还包含2018级数据；涉及毕业生的数据，可提供2020届、2021届、2022届毕业生数据；其他数据可为截止到2023年3月1日的数据。</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6.报告中所指师资队伍指专业基础课和专业课的教师。</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7.页面规格统一为A4纸双面打印，选用“小四”号宋体，电子文本一律用word文档制作；文本样式一般不得自行调整，相关栏目填写不下时，可延长文字框。</w:t>
      </w: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仿宋" w:eastAsia="仿宋_GB2312" w:cs="宋体"/>
          <w:sz w:val="30"/>
          <w:szCs w:val="30"/>
          <w:lang w:val="en-US" w:eastAsia="zh-CN"/>
        </w:rPr>
      </w:pPr>
      <w:r>
        <w:rPr>
          <w:rFonts w:hint="eastAsia" w:ascii="仿宋_GB2312" w:hAnsi="仿宋" w:eastAsia="仿宋_GB2312" w:cs="宋体"/>
          <w:sz w:val="30"/>
          <w:szCs w:val="30"/>
          <w:lang w:val="en-US" w:eastAsia="zh-CN"/>
        </w:rPr>
        <w:t>8.专业评估自评报告是材料评审与现场考察的重要依据，所有数据要如实填写，确保准确无误；有关统计数据与状态统计报表数据一致。</w:t>
      </w:r>
    </w:p>
    <w:p>
      <w:pPr>
        <w:numPr>
          <w:ilvl w:val="0"/>
          <w:numId w:val="0"/>
        </w:numPr>
        <w:ind w:leftChars="0"/>
        <w:rPr>
          <w:b/>
          <w:sz w:val="32"/>
          <w:szCs w:val="32"/>
        </w:rPr>
      </w:pPr>
      <w:r>
        <w:rPr>
          <w:rFonts w:hint="eastAsia"/>
          <w:b/>
          <w:sz w:val="32"/>
          <w:szCs w:val="32"/>
          <w:lang w:val="en-US" w:eastAsia="zh-CN"/>
        </w:rPr>
        <w:br w:type="page"/>
      </w:r>
      <w:r>
        <w:rPr>
          <w:rFonts w:hint="eastAsia"/>
          <w:b/>
          <w:sz w:val="32"/>
          <w:szCs w:val="32"/>
          <w:lang w:val="en-US" w:eastAsia="zh-CN"/>
        </w:rPr>
        <w:t>一、</w:t>
      </w:r>
      <w:r>
        <w:rPr>
          <w:rFonts w:hint="eastAsia"/>
          <w:b/>
          <w:sz w:val="32"/>
          <w:szCs w:val="32"/>
        </w:rPr>
        <w:t>专业自评报告</w:t>
      </w:r>
    </w:p>
    <w:tbl>
      <w:tblPr>
        <w:tblStyle w:val="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0" w:type="dxa"/>
            <w:noWrap w:val="0"/>
            <w:vAlign w:val="top"/>
          </w:tcPr>
          <w:p>
            <w:pPr>
              <w:pStyle w:val="7"/>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（一）专业基本现状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舞蹈教育专业建设是响应国家对加强艺术教育的号召，为培养高素质舞蹈教育人才，加强校园文化建设，服务地方文化建设申报</w:t>
            </w:r>
            <w:r>
              <w:rPr>
                <w:rFonts w:hint="eastAsia" w:ascii="宋体" w:hAnsi="宋体" w:cs="宋体"/>
                <w:b w:val="0"/>
                <w:bCs w:val="0"/>
                <w:color w:val="auto"/>
                <w:kern w:val="2"/>
                <w:sz w:val="24"/>
                <w:szCs w:val="24"/>
                <w:lang w:val="en-US" w:eastAsia="zh-CN" w:bidi="ar-SA"/>
              </w:rPr>
              <w:t>成立的</w:t>
            </w:r>
            <w:r>
              <w:rPr>
                <w:rFonts w:hint="eastAsia" w:ascii="宋体" w:hAnsi="宋体" w:cs="宋体"/>
                <w:b w:val="0"/>
                <w:bCs w:val="0"/>
                <w:color w:val="000000"/>
                <w:kern w:val="2"/>
                <w:sz w:val="24"/>
                <w:szCs w:val="24"/>
                <w:lang w:val="en-US" w:eastAsia="zh-CN" w:bidi="ar-SA"/>
              </w:rPr>
              <w:t>。本</w:t>
            </w:r>
            <w:r>
              <w:rPr>
                <w:rFonts w:hint="eastAsia" w:ascii="宋体" w:hAnsi="宋体" w:eastAsia="宋体" w:cs="宋体"/>
                <w:b w:val="0"/>
                <w:bCs w:val="0"/>
                <w:color w:val="000000"/>
                <w:kern w:val="2"/>
                <w:sz w:val="24"/>
                <w:szCs w:val="24"/>
                <w:lang w:val="en-US" w:eastAsia="zh-CN" w:bidi="ar-SA"/>
              </w:rPr>
              <w:t>专业于2023年</w:t>
            </w:r>
            <w:r>
              <w:rPr>
                <w:rFonts w:hint="eastAsia" w:ascii="宋体" w:hAnsi="宋体" w:cs="宋体"/>
                <w:b w:val="0"/>
                <w:bCs w:val="0"/>
                <w:color w:val="000000"/>
                <w:kern w:val="2"/>
                <w:sz w:val="24"/>
                <w:szCs w:val="24"/>
                <w:lang w:val="en-US" w:eastAsia="zh-CN" w:bidi="ar-SA"/>
              </w:rPr>
              <w:t>9月</w:t>
            </w:r>
            <w:r>
              <w:rPr>
                <w:rFonts w:hint="eastAsia" w:ascii="宋体" w:hAnsi="宋体" w:eastAsia="宋体" w:cs="宋体"/>
                <w:b w:val="0"/>
                <w:bCs w:val="0"/>
                <w:color w:val="000000"/>
                <w:kern w:val="2"/>
                <w:sz w:val="24"/>
                <w:szCs w:val="24"/>
                <w:lang w:val="en-US" w:eastAsia="zh-CN" w:bidi="ar-SA"/>
              </w:rPr>
              <w:t>招生，招生名额为25人。现有专任教师6人</w:t>
            </w:r>
            <w:r>
              <w:rPr>
                <w:rFonts w:hint="eastAsia" w:ascii="宋体" w:hAnsi="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具有舞蹈表演、舞蹈创作、舞蹈教育理论、舞蹈史学以及基础艺术学理论等专业背景。师资</w:t>
            </w:r>
            <w:r>
              <w:rPr>
                <w:rFonts w:hint="eastAsia" w:ascii="宋体" w:hAnsi="宋体" w:cs="宋体"/>
                <w:b w:val="0"/>
                <w:bCs w:val="0"/>
                <w:color w:val="000000"/>
                <w:kern w:val="2"/>
                <w:sz w:val="24"/>
                <w:szCs w:val="24"/>
                <w:lang w:val="en-US" w:eastAsia="zh-CN" w:bidi="ar-SA"/>
              </w:rPr>
              <w:t>队伍</w:t>
            </w:r>
            <w:r>
              <w:rPr>
                <w:rFonts w:hint="eastAsia" w:ascii="宋体" w:hAnsi="宋体" w:eastAsia="宋体" w:cs="宋体"/>
                <w:b w:val="0"/>
                <w:bCs w:val="0"/>
                <w:color w:val="000000"/>
                <w:kern w:val="2"/>
                <w:sz w:val="24"/>
                <w:szCs w:val="24"/>
                <w:lang w:val="en-US" w:eastAsia="zh-CN" w:bidi="ar-SA"/>
              </w:rPr>
              <w:t>中具有高级职称教师</w:t>
            </w:r>
            <w:r>
              <w:rPr>
                <w:rFonts w:hint="eastAsia" w:ascii="宋体" w:hAnsi="宋体" w:cs="宋体"/>
                <w:b w:val="0"/>
                <w:bCs w:val="0"/>
                <w:color w:val="000000"/>
                <w:kern w:val="2"/>
                <w:sz w:val="24"/>
                <w:szCs w:val="24"/>
                <w:lang w:val="en-US" w:eastAsia="zh-CN" w:bidi="ar-SA"/>
              </w:rPr>
              <w:t>1人</w:t>
            </w:r>
            <w:r>
              <w:rPr>
                <w:rFonts w:hint="eastAsia" w:ascii="宋体" w:hAnsi="宋体" w:eastAsia="宋体" w:cs="宋体"/>
                <w:b w:val="0"/>
                <w:bCs w:val="0"/>
                <w:color w:val="000000"/>
                <w:kern w:val="2"/>
                <w:sz w:val="24"/>
                <w:szCs w:val="24"/>
                <w:lang w:val="en-US" w:eastAsia="zh-CN" w:bidi="ar-SA"/>
              </w:rPr>
              <w:t>，</w:t>
            </w:r>
            <w:r>
              <w:rPr>
                <w:rFonts w:hint="eastAsia" w:ascii="宋体" w:hAnsi="宋体" w:cs="宋体"/>
                <w:b w:val="0"/>
                <w:bCs w:val="0"/>
                <w:color w:val="000000"/>
                <w:kern w:val="2"/>
                <w:sz w:val="24"/>
                <w:szCs w:val="24"/>
                <w:lang w:val="en-US" w:eastAsia="zh-CN" w:bidi="ar-SA"/>
              </w:rPr>
              <w:t>中级职称教师4人，1人未定等级。</w:t>
            </w:r>
            <w:r>
              <w:rPr>
                <w:rFonts w:hint="eastAsia" w:ascii="宋体" w:hAnsi="宋体" w:eastAsia="宋体" w:cs="宋体"/>
                <w:b w:val="0"/>
                <w:bCs w:val="0"/>
                <w:color w:val="000000"/>
                <w:kern w:val="2"/>
                <w:sz w:val="24"/>
                <w:szCs w:val="24"/>
                <w:lang w:val="en-US" w:eastAsia="zh-CN" w:bidi="ar-SA"/>
              </w:rPr>
              <w:t>年龄</w:t>
            </w:r>
            <w:r>
              <w:rPr>
                <w:rFonts w:hint="eastAsia" w:ascii="宋体" w:hAnsi="宋体" w:cs="宋体"/>
                <w:b w:val="0"/>
                <w:bCs w:val="0"/>
                <w:color w:val="000000"/>
                <w:kern w:val="2"/>
                <w:sz w:val="24"/>
                <w:szCs w:val="24"/>
                <w:lang w:val="en-US" w:eastAsia="zh-CN" w:bidi="ar-SA"/>
              </w:rPr>
              <w:t>均为50岁以下</w:t>
            </w:r>
            <w:r>
              <w:rPr>
                <w:rFonts w:hint="eastAsia" w:ascii="宋体" w:hAnsi="宋体" w:eastAsia="宋体" w:cs="宋体"/>
                <w:b w:val="0"/>
                <w:bCs w:val="0"/>
                <w:color w:val="000000"/>
                <w:kern w:val="2"/>
                <w:sz w:val="24"/>
                <w:szCs w:val="24"/>
                <w:lang w:val="en-US" w:eastAsia="zh-CN" w:bidi="ar-SA"/>
              </w:rPr>
              <w:t>，</w:t>
            </w:r>
            <w:r>
              <w:rPr>
                <w:rFonts w:hint="eastAsia" w:ascii="宋体" w:hAnsi="宋体" w:cs="宋体"/>
                <w:b w:val="0"/>
                <w:bCs w:val="0"/>
                <w:color w:val="000000"/>
                <w:kern w:val="2"/>
                <w:sz w:val="24"/>
                <w:szCs w:val="24"/>
                <w:lang w:val="en-US" w:eastAsia="zh-CN" w:bidi="ar-SA"/>
              </w:rPr>
              <w:t>具有</w:t>
            </w:r>
            <w:r>
              <w:rPr>
                <w:rFonts w:hint="eastAsia" w:ascii="宋体" w:hAnsi="宋体" w:eastAsia="宋体" w:cs="宋体"/>
                <w:b w:val="0"/>
                <w:bCs w:val="0"/>
                <w:color w:val="000000"/>
                <w:kern w:val="2"/>
                <w:sz w:val="24"/>
                <w:szCs w:val="24"/>
                <w:lang w:val="en-US" w:eastAsia="zh-CN" w:bidi="ar-SA"/>
              </w:rPr>
              <w:t>硕士学位以上</w:t>
            </w:r>
            <w:r>
              <w:rPr>
                <w:rFonts w:hint="eastAsia" w:ascii="宋体" w:hAnsi="宋体" w:cs="宋体"/>
                <w:b w:val="0"/>
                <w:bCs w:val="0"/>
                <w:color w:val="000000"/>
                <w:kern w:val="2"/>
                <w:sz w:val="24"/>
                <w:szCs w:val="24"/>
                <w:lang w:val="en-US" w:eastAsia="zh-CN" w:bidi="ar-SA"/>
              </w:rPr>
              <w:t>教师</w:t>
            </w:r>
            <w:r>
              <w:rPr>
                <w:rFonts w:hint="eastAsia" w:ascii="宋体" w:hAnsi="宋体" w:eastAsia="宋体" w:cs="宋体"/>
                <w:b w:val="0"/>
                <w:bCs w:val="0"/>
                <w:color w:val="000000"/>
                <w:kern w:val="2"/>
                <w:sz w:val="24"/>
                <w:szCs w:val="24"/>
                <w:lang w:val="en-US" w:eastAsia="zh-CN" w:bidi="ar-SA"/>
              </w:rPr>
              <w:t>4人。总体上，本专业教师队伍知识结构、年龄结构和职称结构</w:t>
            </w:r>
            <w:r>
              <w:rPr>
                <w:rFonts w:hint="eastAsia" w:ascii="宋体" w:hAnsi="宋体" w:cs="宋体"/>
                <w:b w:val="0"/>
                <w:bCs w:val="0"/>
                <w:color w:val="000000"/>
                <w:kern w:val="2"/>
                <w:sz w:val="24"/>
                <w:szCs w:val="24"/>
                <w:lang w:val="en-US" w:eastAsia="zh-CN" w:bidi="ar-SA"/>
              </w:rPr>
              <w:t>较</w:t>
            </w:r>
            <w:r>
              <w:rPr>
                <w:rFonts w:hint="eastAsia" w:ascii="宋体" w:hAnsi="宋体" w:eastAsia="宋体" w:cs="宋体"/>
                <w:b w:val="0"/>
                <w:bCs w:val="0"/>
                <w:color w:val="000000"/>
                <w:kern w:val="2"/>
                <w:sz w:val="24"/>
                <w:szCs w:val="24"/>
                <w:lang w:val="en-US" w:eastAsia="zh-CN" w:bidi="ar-SA"/>
              </w:rPr>
              <w:t>合理</w:t>
            </w:r>
            <w:r>
              <w:rPr>
                <w:rFonts w:hint="eastAsia" w:ascii="宋体" w:hAnsi="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能</w:t>
            </w:r>
            <w:r>
              <w:rPr>
                <w:rFonts w:hint="eastAsia" w:ascii="宋体" w:hAnsi="宋体" w:cs="宋体"/>
                <w:b w:val="0"/>
                <w:bCs w:val="0"/>
                <w:color w:val="000000"/>
                <w:kern w:val="2"/>
                <w:sz w:val="24"/>
                <w:szCs w:val="24"/>
                <w:lang w:val="en-US" w:eastAsia="zh-CN" w:bidi="ar-SA"/>
              </w:rPr>
              <w:t>够</w:t>
            </w:r>
            <w:r>
              <w:rPr>
                <w:rFonts w:hint="eastAsia" w:ascii="宋体" w:hAnsi="宋体" w:eastAsia="宋体" w:cs="宋体"/>
                <w:b w:val="0"/>
                <w:bCs w:val="0"/>
                <w:color w:val="000000"/>
                <w:kern w:val="2"/>
                <w:sz w:val="24"/>
                <w:szCs w:val="24"/>
                <w:lang w:val="en-US" w:eastAsia="zh-CN" w:bidi="ar-SA"/>
              </w:rPr>
              <w:t>承担舞蹈教育学科专业基础课程和</w:t>
            </w:r>
            <w:r>
              <w:rPr>
                <w:rFonts w:hint="eastAsia" w:ascii="宋体" w:hAnsi="宋体" w:cs="宋体"/>
                <w:b w:val="0"/>
                <w:bCs w:val="0"/>
                <w:color w:val="000000"/>
                <w:kern w:val="2"/>
                <w:sz w:val="24"/>
                <w:szCs w:val="24"/>
                <w:lang w:val="en-US" w:eastAsia="zh-CN" w:bidi="ar-SA"/>
              </w:rPr>
              <w:t>核心</w:t>
            </w:r>
            <w:r>
              <w:rPr>
                <w:rFonts w:hint="eastAsia" w:ascii="宋体" w:hAnsi="宋体" w:eastAsia="宋体" w:cs="宋体"/>
                <w:b w:val="0"/>
                <w:bCs w:val="0"/>
                <w:color w:val="000000"/>
                <w:kern w:val="2"/>
                <w:sz w:val="24"/>
                <w:szCs w:val="24"/>
                <w:lang w:val="en-US" w:eastAsia="zh-CN" w:bidi="ar-SA"/>
              </w:rPr>
              <w:t>课程的教学工作。生师比为4：1，符合国家标准。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1、</w:t>
            </w:r>
            <w:r>
              <w:rPr>
                <w:rFonts w:hint="eastAsia" w:ascii="宋体" w:hAnsi="宋体" w:eastAsia="宋体" w:cs="宋体"/>
                <w:b w:val="0"/>
                <w:bCs w:val="0"/>
                <w:color w:val="000000"/>
                <w:kern w:val="2"/>
                <w:sz w:val="24"/>
                <w:szCs w:val="24"/>
                <w:lang w:val="en-US" w:eastAsia="zh-CN" w:bidi="ar-SA"/>
              </w:rPr>
              <w:t>实验室建设情况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舞蹈</w:t>
            </w:r>
            <w:r>
              <w:rPr>
                <w:rFonts w:hint="eastAsia" w:ascii="宋体" w:hAnsi="宋体" w:cs="宋体"/>
                <w:b w:val="0"/>
                <w:bCs w:val="0"/>
                <w:color w:val="000000"/>
                <w:kern w:val="2"/>
                <w:sz w:val="24"/>
                <w:szCs w:val="24"/>
                <w:lang w:val="en-US" w:eastAsia="zh-CN" w:bidi="ar-SA"/>
              </w:rPr>
              <w:t>教育专业现</w:t>
            </w:r>
            <w:r>
              <w:rPr>
                <w:rFonts w:hint="eastAsia" w:ascii="宋体" w:hAnsi="宋体" w:eastAsia="宋体" w:cs="宋体"/>
                <w:b w:val="0"/>
                <w:bCs w:val="0"/>
                <w:color w:val="000000"/>
                <w:kern w:val="2"/>
                <w:sz w:val="24"/>
                <w:szCs w:val="24"/>
                <w:lang w:val="en-US" w:eastAsia="zh-CN" w:bidi="ar-SA"/>
              </w:rPr>
              <w:t>拥有</w:t>
            </w:r>
            <w:r>
              <w:rPr>
                <w:rFonts w:hint="eastAsia" w:ascii="宋体" w:hAnsi="宋体" w:cs="宋体"/>
                <w:b w:val="0"/>
                <w:bCs w:val="0"/>
                <w:color w:val="000000"/>
                <w:kern w:val="2"/>
                <w:sz w:val="24"/>
                <w:szCs w:val="24"/>
                <w:lang w:val="en-US" w:eastAsia="zh-CN" w:bidi="ar-SA"/>
              </w:rPr>
              <w:t>舞蹈实训</w:t>
            </w:r>
            <w:r>
              <w:rPr>
                <w:rFonts w:hint="eastAsia" w:ascii="宋体" w:hAnsi="宋体" w:eastAsia="宋体" w:cs="宋体"/>
                <w:b w:val="0"/>
                <w:bCs w:val="0"/>
                <w:color w:val="000000"/>
                <w:kern w:val="2"/>
                <w:sz w:val="24"/>
                <w:szCs w:val="24"/>
                <w:lang w:val="en-US" w:eastAsia="zh-CN" w:bidi="ar-SA"/>
              </w:rPr>
              <w:t>室</w:t>
            </w:r>
            <w:r>
              <w:rPr>
                <w:rFonts w:hint="eastAsia" w:ascii="宋体" w:hAnsi="宋体" w:cs="宋体"/>
                <w:b w:val="0"/>
                <w:bCs w:val="0"/>
                <w:color w:val="000000"/>
                <w:kern w:val="2"/>
                <w:sz w:val="24"/>
                <w:szCs w:val="24"/>
                <w:lang w:val="en-US" w:eastAsia="zh-CN" w:bidi="ar-SA"/>
              </w:rPr>
              <w:t>1</w:t>
            </w:r>
            <w:r>
              <w:rPr>
                <w:rFonts w:hint="eastAsia" w:ascii="宋体" w:hAnsi="宋体" w:eastAsia="宋体" w:cs="宋体"/>
                <w:b w:val="0"/>
                <w:bCs w:val="0"/>
                <w:color w:val="000000"/>
                <w:kern w:val="2"/>
                <w:sz w:val="24"/>
                <w:szCs w:val="24"/>
                <w:lang w:val="en-US" w:eastAsia="zh-CN" w:bidi="ar-SA"/>
              </w:rPr>
              <w:t>间</w:t>
            </w:r>
            <w:r>
              <w:rPr>
                <w:rFonts w:hint="eastAsia" w:ascii="宋体" w:hAnsi="宋体" w:cs="宋体"/>
                <w:b w:val="0"/>
                <w:bCs w:val="0"/>
                <w:color w:val="000000"/>
                <w:kern w:val="2"/>
                <w:sz w:val="24"/>
                <w:szCs w:val="24"/>
                <w:lang w:val="en-US" w:eastAsia="zh-CN" w:bidi="ar-SA"/>
              </w:rPr>
              <w:t>，面积约120平米</w:t>
            </w:r>
            <w:r>
              <w:rPr>
                <w:rFonts w:hint="eastAsia" w:ascii="宋体" w:hAnsi="宋体" w:eastAsia="宋体" w:cs="宋体"/>
                <w:b w:val="0"/>
                <w:bCs w:val="0"/>
                <w:color w:val="000000"/>
                <w:kern w:val="2"/>
                <w:sz w:val="24"/>
                <w:szCs w:val="24"/>
                <w:lang w:val="en-US" w:eastAsia="zh-CN" w:bidi="ar-SA"/>
              </w:rPr>
              <w:t>；音乐厅1</w:t>
            </w:r>
            <w:r>
              <w:rPr>
                <w:rFonts w:hint="eastAsia" w:ascii="宋体" w:hAnsi="宋体" w:cs="宋体"/>
                <w:b w:val="0"/>
                <w:bCs w:val="0"/>
                <w:color w:val="000000"/>
                <w:kern w:val="2"/>
                <w:sz w:val="24"/>
                <w:szCs w:val="24"/>
                <w:lang w:val="en-US" w:eastAsia="zh-CN" w:bidi="ar-SA"/>
              </w:rPr>
              <w:t>间</w:t>
            </w:r>
            <w:r>
              <w:rPr>
                <w:rFonts w:hint="eastAsia" w:ascii="宋体" w:hAnsi="宋体" w:eastAsia="宋体" w:cs="宋体"/>
                <w:b w:val="0"/>
                <w:bCs w:val="0"/>
                <w:color w:val="000000"/>
                <w:kern w:val="2"/>
                <w:sz w:val="24"/>
                <w:szCs w:val="24"/>
                <w:lang w:val="en-US" w:eastAsia="zh-CN" w:bidi="ar-SA"/>
              </w:rPr>
              <w:t>，面积312平米，</w:t>
            </w:r>
            <w:r>
              <w:rPr>
                <w:rFonts w:hint="eastAsia" w:ascii="宋体" w:hAnsi="宋体" w:cs="宋体"/>
                <w:b w:val="0"/>
                <w:bCs w:val="0"/>
                <w:color w:val="000000"/>
                <w:kern w:val="2"/>
                <w:sz w:val="24"/>
                <w:szCs w:val="24"/>
                <w:lang w:val="en-US" w:eastAsia="zh-CN" w:bidi="ar-SA"/>
              </w:rPr>
              <w:t>可</w:t>
            </w:r>
            <w:r>
              <w:rPr>
                <w:rFonts w:hint="eastAsia" w:ascii="宋体" w:hAnsi="宋体" w:eastAsia="宋体" w:cs="宋体"/>
                <w:b w:val="0"/>
                <w:bCs w:val="0"/>
                <w:color w:val="000000"/>
                <w:kern w:val="2"/>
                <w:sz w:val="24"/>
                <w:szCs w:val="24"/>
                <w:lang w:val="en-US" w:eastAsia="zh-CN" w:bidi="ar-SA"/>
              </w:rPr>
              <w:t>容纳260位观众；舞蹈基础理论教室2间；音乐编辑实训室</w:t>
            </w:r>
            <w:r>
              <w:rPr>
                <w:rFonts w:hint="eastAsia" w:ascii="宋体" w:hAnsi="宋体" w:cs="宋体"/>
                <w:b w:val="0"/>
                <w:bCs w:val="0"/>
                <w:color w:val="000000"/>
                <w:kern w:val="2"/>
                <w:sz w:val="24"/>
                <w:szCs w:val="24"/>
                <w:lang w:val="en-US" w:eastAsia="zh-CN" w:bidi="ar-SA"/>
              </w:rPr>
              <w:t>1间</w:t>
            </w:r>
            <w:r>
              <w:rPr>
                <w:rFonts w:hint="eastAsia" w:ascii="宋体" w:hAnsi="宋体" w:eastAsia="宋体" w:cs="宋体"/>
                <w:b w:val="0"/>
                <w:bCs w:val="0"/>
                <w:color w:val="000000"/>
                <w:kern w:val="2"/>
                <w:sz w:val="24"/>
                <w:szCs w:val="24"/>
                <w:lang w:val="en-US" w:eastAsia="zh-CN" w:bidi="ar-SA"/>
              </w:rPr>
              <w:t>（原电脑音乐实训室）、音乐制作实训室（原电脑音乐实训室-录音棚）2间；综合排练室1间。舞蹈</w:t>
            </w:r>
            <w:r>
              <w:rPr>
                <w:rFonts w:hint="eastAsia" w:ascii="宋体" w:hAnsi="宋体" w:cs="宋体"/>
                <w:b w:val="0"/>
                <w:bCs w:val="0"/>
                <w:color w:val="000000"/>
                <w:kern w:val="2"/>
                <w:sz w:val="24"/>
                <w:szCs w:val="24"/>
                <w:lang w:val="en-US" w:eastAsia="zh-CN" w:bidi="ar-SA"/>
              </w:rPr>
              <w:t>实训</w:t>
            </w:r>
            <w:r>
              <w:rPr>
                <w:rFonts w:hint="eastAsia" w:ascii="宋体" w:hAnsi="宋体" w:eastAsia="宋体" w:cs="宋体"/>
                <w:b w:val="0"/>
                <w:bCs w:val="0"/>
                <w:color w:val="000000"/>
                <w:kern w:val="2"/>
                <w:sz w:val="24"/>
                <w:szCs w:val="24"/>
                <w:lang w:val="en-US" w:eastAsia="zh-CN" w:bidi="ar-SA"/>
              </w:rPr>
              <w:t>室、综合排练室、音乐编辑实训室（原电脑音乐实训室）主要面对舞蹈教育专业</w:t>
            </w:r>
            <w:r>
              <w:rPr>
                <w:rFonts w:hint="eastAsia" w:ascii="宋体" w:hAnsi="宋体" w:cs="宋体"/>
                <w:b w:val="0"/>
                <w:bCs w:val="0"/>
                <w:color w:val="000000"/>
                <w:kern w:val="2"/>
                <w:sz w:val="24"/>
                <w:szCs w:val="24"/>
                <w:lang w:val="en-US" w:eastAsia="zh-CN" w:bidi="ar-SA"/>
              </w:rPr>
              <w:t>、音乐教育专业、音乐表演专业</w:t>
            </w:r>
            <w:r>
              <w:rPr>
                <w:rFonts w:hint="eastAsia" w:ascii="宋体" w:hAnsi="宋体" w:eastAsia="宋体" w:cs="宋体"/>
                <w:b w:val="0"/>
                <w:bCs w:val="0"/>
                <w:color w:val="000000"/>
                <w:kern w:val="2"/>
                <w:sz w:val="24"/>
                <w:szCs w:val="24"/>
                <w:lang w:val="en-US" w:eastAsia="zh-CN" w:bidi="ar-SA"/>
              </w:rPr>
              <w:t>学生开放；综合排练室与音乐厅除专业教学实践使用外，部分时间对外开放。音乐厅</w:t>
            </w:r>
            <w:r>
              <w:rPr>
                <w:rFonts w:hint="eastAsia" w:ascii="宋体" w:hAnsi="宋体" w:cs="宋体"/>
                <w:b w:val="0"/>
                <w:bCs w:val="0"/>
                <w:color w:val="000000"/>
                <w:kern w:val="2"/>
                <w:sz w:val="24"/>
                <w:szCs w:val="24"/>
                <w:lang w:val="en-US" w:eastAsia="zh-CN" w:bidi="ar-SA"/>
              </w:rPr>
              <w:t>主要是专业教师教学、学生实践、学生考试使用。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2、实习实践基地建设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lang w:val="en-US" w:eastAsia="zh-CN"/>
              </w:rPr>
            </w:pPr>
            <w:r>
              <w:rPr>
                <w:rFonts w:hint="eastAsia" w:ascii="宋体" w:hAnsi="宋体" w:cs="宋体"/>
                <w:b w:val="0"/>
                <w:bCs w:val="0"/>
                <w:color w:val="000000"/>
                <w:kern w:val="2"/>
                <w:sz w:val="24"/>
                <w:szCs w:val="24"/>
                <w:lang w:val="en-US" w:eastAsia="zh-CN" w:bidi="ar-SA"/>
              </w:rPr>
              <w:t>目前我系教育实践基地相对稳定，能够提供合适的教育实践环境和实习指导，满足师范生教育实践需求。本专业现有近20个实践基地（八师石河子市教育局下包含15所中小学实习基地），能够满足舞蹈教育实践和教育研究的需要，达到新疆维吾尔自治区“每15人≥1个教育实践基地”和国家“每20人≥1个教育实践基地”的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（二）专业主要成就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1、教育教学业绩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目前，本专业虽未开始招生，但教师队伍一直在舞蹈教学、舞蹈研究、舞蹈创作等方面积极探索，勇于创新。带领学生参加各级各类专业技能比赛，获奖8项，其中国家级3项、省部级4项、校级1项；原创舞蹈作品5部，原创歌曲2首，分别在大学生艺术展演、兵团舞蹈大赛、兵团优秀作品征集活动中斩获奖项；立项教育部课题1项（已结题），校级课题4项（在研）；校级教学改革立项1项；校级思政课程立项4门；出版专著3本；发表高水平论文2篇；发表国家级媒体文章3篇；发表省部级媒体文章2篇；在省级刊物上发表论文20余篇；SRP立项1项；教师个人荣誉6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2、社会服务业绩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lang w:val="en-US" w:eastAsia="zh-CN"/>
              </w:rPr>
            </w:pPr>
            <w:r>
              <w:rPr>
                <w:rFonts w:hint="eastAsia" w:ascii="宋体" w:hAnsi="宋体" w:cs="宋体"/>
                <w:b w:val="0"/>
                <w:bCs w:val="0"/>
                <w:color w:val="000000"/>
                <w:kern w:val="2"/>
                <w:sz w:val="24"/>
                <w:szCs w:val="24"/>
                <w:lang w:val="en-US" w:eastAsia="zh-CN" w:bidi="ar-SA"/>
              </w:rPr>
              <w:t>本专业教师在保证专业教学的前提下，积极参与社会服务工作。先后赴兵团第三师、第四师、第五师、第十四师、玛纳斯县、69233部队等地开展文艺下基层活动。为丰富教职工业余文化生活举办石河子大学教职工舞蹈团，组织并参与校级文艺演出10余场，推动学校、学院创建全国民族团结先进示范单位，促进校园文化建设。此外，教师们还积极参与兵团大学生艺术展演的评审工作；第八师中小学音乐教师基本功大赛的评审工作；兵团中小学音乐教师继续教育培训的授课工作，为兵团音乐舞蹈教育事业的发展贡献力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（三）专业目前存在的问题及其成因</w:t>
            </w:r>
          </w:p>
          <w:p>
            <w:pPr>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default"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1、师资队伍人数不足，教师学历职称有待进一步提高</w:t>
            </w:r>
          </w:p>
          <w:p>
            <w:pPr>
              <w:pageBreakBefore w:val="0"/>
              <w:widowControl w:val="0"/>
              <w:kinsoku/>
              <w:wordWrap/>
              <w:overflowPunct/>
              <w:topLinePunct w:val="0"/>
              <w:autoSpaceDE/>
              <w:autoSpaceDN/>
              <w:bidi w:val="0"/>
              <w:spacing w:line="360" w:lineRule="auto"/>
              <w:ind w:firstLine="480" w:firstLineChars="200"/>
              <w:textAlignment w:val="auto"/>
              <w:outlineLvl w:val="9"/>
              <w:rPr>
                <w:rFonts w:hint="eastAsia" w:cs="宋体"/>
                <w:b w:val="0"/>
                <w:bCs w:val="0"/>
                <w:color w:val="000000"/>
                <w:kern w:val="2"/>
                <w:sz w:val="24"/>
                <w:szCs w:val="24"/>
                <w:lang w:val="en-US" w:eastAsia="zh-CN" w:bidi="ar-SA"/>
              </w:rPr>
            </w:pPr>
            <w:r>
              <w:rPr>
                <w:rFonts w:hint="eastAsia" w:cs="宋体"/>
                <w:b w:val="0"/>
                <w:bCs w:val="0"/>
                <w:color w:val="000000"/>
                <w:kern w:val="2"/>
                <w:sz w:val="24"/>
                <w:szCs w:val="24"/>
                <w:lang w:val="en-US" w:eastAsia="zh-CN" w:bidi="ar-SA"/>
              </w:rPr>
              <w:t>本专业自2023年9月起每年计划招生25人，现有专任教师6名。按这一规模计算，四年后舞蹈教育专业在校学生为100人，生师比为16.7：1。根据教育部相关文件规定，舞蹈类专业的师资队伍应根据学科地位、培养目标、课程设置和授课时数等需要确定，专业生师比应保持在11：1的国家合格要求范围内。故为满足教学需要，近三年内本专业需至少增加一名舞蹈专业教师。</w:t>
            </w:r>
          </w:p>
          <w:p>
            <w:pPr>
              <w:pStyle w:val="2"/>
              <w:ind w:left="0" w:leftChars="0" w:firstLine="0" w:firstLineChars="0"/>
              <w:jc w:val="center"/>
              <w:rPr>
                <w:rFonts w:hint="default"/>
                <w:lang w:val="en-US" w:eastAsia="zh-CN"/>
              </w:rPr>
            </w:pPr>
            <w:r>
              <w:rPr>
                <w:rFonts w:hint="eastAsia" w:cs="宋体"/>
                <w:b w:val="0"/>
                <w:bCs w:val="0"/>
                <w:color w:val="000000"/>
                <w:kern w:val="2"/>
                <w:sz w:val="24"/>
                <w:szCs w:val="24"/>
                <w:lang w:val="en-US" w:eastAsia="zh-CN" w:bidi="ar-SA"/>
              </w:rPr>
              <w:t>师生对照表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3"/>
              <w:gridCol w:w="2253"/>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年份</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在校学生数</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在校教师数</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生师比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2023年</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25</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2024年</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2025年</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75</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2026年</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16.7：1</w:t>
                  </w:r>
                </w:p>
              </w:tc>
            </w:tr>
          </w:tbl>
          <w:p>
            <w:pPr>
              <w:pStyle w:val="2"/>
              <w:rPr>
                <w:rFonts w:hint="eastAsia"/>
                <w:lang w:val="en-US" w:eastAsia="zh-CN"/>
              </w:rPr>
            </w:pPr>
          </w:p>
          <w:p>
            <w:pPr>
              <w:pStyle w:val="2"/>
              <w:pageBreakBefore w:val="0"/>
              <w:widowControl w:val="0"/>
              <w:kinsoku/>
              <w:wordWrap/>
              <w:overflowPunct/>
              <w:topLinePunct w:val="0"/>
              <w:autoSpaceDE/>
              <w:autoSpaceDN/>
              <w:bidi w:val="0"/>
              <w:spacing w:line="360" w:lineRule="auto"/>
              <w:textAlignment w:val="auto"/>
              <w:rPr>
                <w:rFonts w:hint="default"/>
                <w:lang w:val="en-US" w:eastAsia="zh-CN"/>
              </w:rPr>
            </w:pPr>
            <w:r>
              <w:rPr>
                <w:rFonts w:hint="eastAsia" w:cs="宋体"/>
                <w:b w:val="0"/>
                <w:bCs w:val="0"/>
                <w:color w:val="000000"/>
                <w:kern w:val="2"/>
                <w:sz w:val="24"/>
                <w:szCs w:val="24"/>
                <w:lang w:val="en-US" w:eastAsia="zh-CN" w:bidi="ar-SA"/>
              </w:rPr>
              <w:t>国家质量标准在对舞蹈类专业师资队伍的要求中提到，舞蹈类专业专任教师一般应具有硕士及以上学位，职称结构合理，具有高级职称的教师比例不低于30%。目前本专业教师硕士及以上学历占比67%，高级职称教师占比17%。距离国家标准还有一些距离，计划在今后的三年内将教师硕士及以上学历占比提升至85%，高级职称教师占比提升至50%。</w:t>
            </w:r>
          </w:p>
          <w:p>
            <w:pPr>
              <w:pageBreakBefore w:val="0"/>
              <w:widowControl w:val="0"/>
              <w:numPr>
                <w:ilvl w:val="0"/>
                <w:numId w:val="0"/>
              </w:numPr>
              <w:kinsoku/>
              <w:wordWrap/>
              <w:overflowPunct/>
              <w:topLinePunct w:val="0"/>
              <w:autoSpaceDE/>
              <w:autoSpaceDN/>
              <w:bidi w:val="0"/>
              <w:spacing w:line="360" w:lineRule="auto"/>
              <w:ind w:leftChars="0"/>
              <w:textAlignment w:val="auto"/>
              <w:outlineLvl w:val="9"/>
              <w:rPr>
                <w:rFonts w:hint="eastAsia" w:ascii="宋体" w:hAnsi="宋体" w:cs="宋体"/>
                <w:b w:val="0"/>
                <w:bCs w:val="0"/>
                <w:color w:val="000000"/>
                <w:kern w:val="2"/>
                <w:sz w:val="24"/>
                <w:szCs w:val="24"/>
                <w:lang w:val="en-US" w:eastAsia="zh-CN" w:bidi="ar-SA"/>
              </w:rPr>
            </w:pPr>
            <w:r>
              <w:rPr>
                <w:rFonts w:hint="eastAsia"/>
                <w:sz w:val="24"/>
                <w:szCs w:val="24"/>
                <w:lang w:val="en-US" w:eastAsia="zh-CN"/>
              </w:rPr>
              <w:t>2、教学实训室不足，阻碍专业可持续发展。</w:t>
            </w:r>
          </w:p>
          <w:p>
            <w:pPr>
              <w:pageBreakBefore w:val="0"/>
              <w:widowControl w:val="0"/>
              <w:kinsoku/>
              <w:wordWrap/>
              <w:overflowPunct/>
              <w:topLinePunct w:val="0"/>
              <w:autoSpaceDE/>
              <w:autoSpaceDN/>
              <w:bidi w:val="0"/>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目前本专业可使用的舞蹈实训室有1间，面积约120平米，目前生均面积为4.8平方木。根据国家质量标准中提到的舞蹈类专业基本教学场地生均面积不小于4平米的规定，待2024年第二届舞蹈教育专业学生进校后，生均面积将降至2.5平米，届时将不能满足基本教学需求。所以在2024年9月前，急需扩充一至两间能够满足基本教学、排练、实践的教学场地。</w:t>
            </w:r>
          </w:p>
          <w:p>
            <w:pPr>
              <w:pStyle w:val="2"/>
              <w:ind w:left="0" w:leftChars="0" w:firstLine="0" w:firstLineChars="0"/>
              <w:jc w:val="center"/>
              <w:rPr>
                <w:rFonts w:hint="default"/>
                <w:b w:val="0"/>
                <w:bCs w:val="0"/>
                <w:lang w:val="en-US" w:eastAsia="zh-CN"/>
              </w:rPr>
            </w:pPr>
            <w:r>
              <w:rPr>
                <w:rFonts w:hint="eastAsia"/>
                <w:b w:val="0"/>
                <w:bCs w:val="0"/>
                <w:sz w:val="24"/>
                <w:szCs w:val="24"/>
                <w:lang w:val="en-US" w:eastAsia="zh-CN"/>
              </w:rPr>
              <w:t>生均面积示意图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3"/>
              <w:gridCol w:w="2253"/>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年份</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在校学生人数</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场地面积</w:t>
                  </w:r>
                </w:p>
              </w:tc>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生均面积（平方米）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pStyle w:val="2"/>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2023年</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25</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120</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2023年</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120</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2023年</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75</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120</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2023年</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120</w:t>
                  </w:r>
                </w:p>
              </w:tc>
              <w:tc>
                <w:tcPr>
                  <w:tcW w:w="2256" w:type="dxa"/>
                </w:tcPr>
                <w:p>
                  <w:pPr>
                    <w:pStyle w:val="2"/>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r>
          </w:tbl>
          <w:p>
            <w:pPr>
              <w:pStyle w:val="2"/>
              <w:rPr>
                <w:rFonts w:hint="eastAsia"/>
                <w:lang w:val="en-US" w:eastAsia="zh-CN"/>
              </w:rPr>
            </w:pPr>
          </w:p>
          <w:p>
            <w:pPr>
              <w:pageBreakBefore w:val="0"/>
              <w:widowControl w:val="0"/>
              <w:numPr>
                <w:ilvl w:val="0"/>
                <w:numId w:val="1"/>
              </w:numPr>
              <w:kinsoku/>
              <w:wordWrap/>
              <w:overflowPunct/>
              <w:topLinePunct w:val="0"/>
              <w:autoSpaceDE/>
              <w:autoSpaceDN/>
              <w:bidi w:val="0"/>
              <w:spacing w:line="360" w:lineRule="auto"/>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专业下一阶段发展目标、思路与举措的框架</w:t>
            </w:r>
          </w:p>
          <w:p>
            <w:pPr>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1、加强与疆内外高校的交流合作，建立长期的交流机制。在专业建设方面、人才培养方面、学术交流方面寻求合作。</w:t>
            </w:r>
          </w:p>
          <w:p>
            <w:pPr>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2、完善教学质量监控体系，在生源质量控制、教学过程质量控制、教学结果评价方面制定专业教学质量保障、监控与评估办法及实施细则。定期进行全面的自查与评估，为专业的持续发展做好保障。</w:t>
            </w:r>
          </w:p>
          <w:p>
            <w:pPr>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3、在未来的3--5年内，把课程、教师、教学、学生及教学方法技术在专业这个平台上整合好，把专业建扎实。在舞蹈创作、舞台实践以及理论研究等各方面根据实际情况设立合理的发展目标。</w:t>
            </w:r>
          </w:p>
          <w:p>
            <w:pPr>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4、加强对专业教学成果的宣传，利用好学校、学院的网络宣传平台，推广舞蹈教育专业优秀教学成果。使更多的人关注我校舞蹈教育专业，提高社会知名度，推动招生宣传工作，提升学生实践创新积极性。</w:t>
            </w:r>
          </w:p>
          <w:p>
            <w:pPr>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 xml:space="preserve">5、认真规划高质量舞蹈作品的产出工作，争取在数量上有突破，在质量上有提升。舞蹈创作是舞蹈专业发展的不竭动力，进一步加强教师与学生的创作能力，对兵团舞蹈文化以及中国传统文化深入挖掘，加速专业内涵式发展，增强业内认可度及社会影响力。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6、提高教师队伍整体专业素质与基本素养。落实教师队伍师德师风管理办法，杜绝教师队伍中的不正之风。在</w:t>
            </w:r>
            <w:r>
              <w:rPr>
                <w:rFonts w:hint="eastAsia" w:ascii="宋体" w:hAnsi="宋体" w:eastAsia="宋体" w:cs="宋体"/>
                <w:b w:val="0"/>
                <w:bCs w:val="0"/>
                <w:color w:val="000000"/>
                <w:kern w:val="2"/>
                <w:sz w:val="24"/>
                <w:szCs w:val="24"/>
                <w:lang w:val="en-US" w:eastAsia="zh-CN" w:bidi="ar-SA"/>
              </w:rPr>
              <w:t>学历与职称的提升方面，鼓励教师不断进修学习，充实专业知识，把握学科前沿动态。</w:t>
            </w:r>
            <w:r>
              <w:rPr>
                <w:rFonts w:hint="eastAsia" w:ascii="宋体" w:hAnsi="宋体" w:eastAsia="宋体" w:cs="宋体"/>
                <w:sz w:val="24"/>
                <w:szCs w:val="24"/>
                <w:lang w:val="en-US" w:eastAsia="zh-CN"/>
              </w:rPr>
              <w:t>2025年，计划本专业教师硕士及以上学历教师占比达到83%，高级职称占比达到57%。</w:t>
            </w:r>
          </w:p>
          <w:p>
            <w:pPr>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pPr>
            <w:r>
              <w:rPr>
                <w:rFonts w:hint="eastAsia" w:ascii="宋体" w:hAnsi="宋体" w:cs="宋体"/>
                <w:b w:val="0"/>
                <w:bCs w:val="0"/>
                <w:color w:val="000000"/>
                <w:kern w:val="2"/>
                <w:sz w:val="24"/>
                <w:szCs w:val="24"/>
                <w:lang w:val="en-US" w:eastAsia="zh-CN" w:bidi="ar-SA"/>
              </w:rPr>
              <w:t>7、完善专业基础硬件工程建设，根据国家质量标准建设能够符合开展舞蹈教学、排练、实践活动的场地，进一步为学生提供优质的教学环境。</w:t>
            </w:r>
          </w:p>
        </w:tc>
      </w:tr>
    </w:tbl>
    <w:p>
      <w:pPr>
        <w:widowControl/>
        <w:numPr>
          <w:ilvl w:val="0"/>
          <w:numId w:val="0"/>
        </w:numPr>
        <w:jc w:val="left"/>
        <w:rPr>
          <w:b/>
          <w:sz w:val="32"/>
          <w:szCs w:val="32"/>
        </w:rPr>
      </w:pPr>
      <w:r>
        <w:rPr>
          <w:sz w:val="32"/>
          <w:szCs w:val="32"/>
        </w:rPr>
        <w:br w:type="page"/>
      </w:r>
      <w:r>
        <w:rPr>
          <w:rFonts w:hint="eastAsia"/>
          <w:sz w:val="32"/>
          <w:szCs w:val="32"/>
          <w:lang w:val="en-US" w:eastAsia="zh-CN"/>
        </w:rPr>
        <w:t>二、</w:t>
      </w:r>
      <w:r>
        <w:rPr>
          <w:rFonts w:hint="eastAsia"/>
          <w:b/>
          <w:sz w:val="32"/>
          <w:szCs w:val="32"/>
        </w:rPr>
        <w:t>专业自评</w:t>
      </w:r>
      <w:r>
        <w:rPr>
          <w:b/>
          <w:sz w:val="32"/>
          <w:szCs w:val="32"/>
        </w:rPr>
        <w:t>表</w:t>
      </w:r>
    </w:p>
    <w:tbl>
      <w:tblPr>
        <w:tblStyle w:val="8"/>
        <w:tblW w:w="95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7"/>
        <w:gridCol w:w="2574"/>
        <w:gridCol w:w="3438"/>
        <w:gridCol w:w="887"/>
        <w:gridCol w:w="550"/>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blHeader/>
          <w:jc w:val="center"/>
        </w:trPr>
        <w:tc>
          <w:tcPr>
            <w:tcW w:w="140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一级指标</w:t>
            </w:r>
          </w:p>
        </w:tc>
        <w:tc>
          <w:tcPr>
            <w:tcW w:w="25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二级指标</w:t>
            </w:r>
          </w:p>
        </w:tc>
        <w:tc>
          <w:tcPr>
            <w:tcW w:w="4325"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主要观测点</w:t>
            </w: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自评结果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blHeader/>
          <w:jc w:val="center"/>
        </w:trPr>
        <w:tc>
          <w:tcPr>
            <w:tcW w:w="140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color w:val="auto"/>
                <w:sz w:val="20"/>
                <w:szCs w:val="20"/>
              </w:rPr>
            </w:pPr>
          </w:p>
        </w:tc>
        <w:tc>
          <w:tcPr>
            <w:tcW w:w="257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color w:val="auto"/>
                <w:sz w:val="20"/>
                <w:szCs w:val="20"/>
              </w:rPr>
            </w:pPr>
          </w:p>
        </w:tc>
        <w:tc>
          <w:tcPr>
            <w:tcW w:w="4325"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color w:val="auto"/>
                <w:sz w:val="20"/>
                <w:szCs w:val="20"/>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等级</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等级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1.专业目标与要求（15）</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1.1专业设置与规划（7分）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1.1.1专业建设规划与一流专业建设措施（7分）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B</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1.2培养方案（8分）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1.2.1目标与要求（8分）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2.师资队伍</w:t>
            </w:r>
          </w:p>
          <w:p>
            <w:pPr>
              <w:pStyle w:val="7"/>
              <w:keepNext w:val="0"/>
              <w:keepLines w:val="0"/>
              <w:pageBreakBefore w:val="0"/>
              <w:widowControl w:val="0"/>
              <w:kinsoku/>
              <w:wordWrap/>
              <w:overflowPunct/>
              <w:topLinePunct w:val="0"/>
              <w:autoSpaceDE/>
              <w:autoSpaceDN/>
              <w:bidi w:val="0"/>
              <w:adjustRightInd/>
              <w:snapToGrid/>
              <w:spacing w:before="0" w:after="0"/>
              <w:textAlignment w:val="auto"/>
              <w:rPr>
                <w:rFonts w:hint="eastAsia"/>
                <w:b/>
                <w:bCs/>
                <w:color w:val="auto"/>
              </w:rPr>
            </w:pPr>
            <w:r>
              <w:rPr>
                <w:rFonts w:hint="eastAsia" w:ascii="宋体" w:hAnsi="宋体" w:eastAsia="宋体" w:cs="宋体"/>
                <w:b/>
                <w:bCs/>
                <w:color w:val="auto"/>
                <w:kern w:val="2"/>
                <w:sz w:val="22"/>
                <w:szCs w:val="22"/>
                <w:lang w:val="en-US" w:eastAsia="zh-CN" w:bidi="ar-SA"/>
              </w:rPr>
              <w:t>（20分）</w:t>
            </w: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2.1教书育人（2分）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2.1.1落实师德师风是评价教师第一标准的情况（1分）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2.1.2落实师德考核贯穿于教育教学全过程等方面的情况（1分）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2.2师资结构（5分）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2.2.1专业生师比（1分）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2.2.2专业教师结构（2分）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B</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2.2.3具有行业背景教师（2分）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2.3教师教学和科研创作水平与业绩（4分）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2.3.1教师教学业绩（1分）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B</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2.3.2教师科研和创作情况（2分）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B</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2.3.3中青年教师发展（1分）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B</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2.4教师精力投入（5分）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2.4.1教学任务承担（1分）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2.4.2参与学生指导（2分）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2.4.3教学研究与改革（2分）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2.5基层组织建设（4分）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2.5.1基层教学组织建设与运行情况（2分）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highlight w:val="none"/>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2.5.2教育教学研究活动开展情况及成效（2分）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3.教学资源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eastAsia="宋体"/>
                <w:color w:val="auto"/>
                <w:lang w:eastAsia="zh-CN"/>
              </w:rPr>
            </w:pPr>
            <w:r>
              <w:rPr>
                <w:rFonts w:hint="eastAsia" w:ascii="宋体" w:hAnsi="宋体" w:eastAsia="宋体" w:cs="宋体"/>
                <w:b/>
                <w:bCs/>
                <w:color w:val="auto"/>
                <w:sz w:val="22"/>
                <w:szCs w:val="22"/>
                <w:lang w:val="en-US" w:eastAsia="zh-CN"/>
              </w:rPr>
              <w:t>（10分）</w:t>
            </w: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3.1教学条件（7分）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3.1.1实验室建设及管理（3分）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B</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3.1.2实习实训基地建设（3分）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3.1.3图书与信息化资源（1分）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3.2教学投入（2分）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3.2.1教学经费（2分）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3.3社会资源的利用（1分）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3.3.1合作教育（1分）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4.培养过程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eastAsia="宋体"/>
                <w:color w:val="auto"/>
                <w:lang w:eastAsia="zh-CN"/>
              </w:rPr>
            </w:pPr>
            <w:r>
              <w:rPr>
                <w:rFonts w:hint="eastAsia" w:ascii="宋体" w:hAnsi="宋体" w:eastAsia="宋体" w:cs="宋体"/>
                <w:b/>
                <w:bCs/>
                <w:color w:val="auto"/>
                <w:sz w:val="22"/>
                <w:szCs w:val="22"/>
                <w:lang w:val="en-US" w:eastAsia="zh-CN"/>
              </w:rPr>
              <w:t>（20分）</w:t>
            </w: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4.1课程体系结构（12分）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4.1.1核心课程（4分）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4.1.2课程构成比例（4分）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4.1.3课程思政及一流课程建设情况（4分）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4.2课程教学的实施（8分）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4.2.1课程教学大纲（4分）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4.2.2实践教学（4分）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5.学生发展（15分）</w:t>
            </w: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5.1招生与生源情况（6分）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5.1.1招生录取情况（3分）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highlight w:val="none"/>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5.1.2转专业情况（3分）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5.2学生学习指导与跟踪（7分）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5.2.1学业指导与创新创业（4分）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highlight w:val="none"/>
                <w:u w:val="none"/>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5.2.2学习过程的跟踪与培养效果（3分）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5.3就业与发展（2分）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5.3.1就业质量与满意度（2分）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6.质量保障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hint="eastAsia" w:eastAsia="宋体"/>
                <w:color w:val="auto"/>
                <w:lang w:eastAsia="zh-CN"/>
              </w:rPr>
            </w:pPr>
            <w:r>
              <w:rPr>
                <w:rFonts w:hint="eastAsia" w:ascii="宋体" w:hAnsi="宋体" w:eastAsia="宋体" w:cs="宋体"/>
                <w:b/>
                <w:bCs/>
                <w:color w:val="auto"/>
                <w:sz w:val="22"/>
                <w:szCs w:val="22"/>
                <w:lang w:val="en-US" w:eastAsia="zh-CN"/>
              </w:rPr>
              <w:t>（15分）</w:t>
            </w:r>
          </w:p>
        </w:tc>
        <w:tc>
          <w:tcPr>
            <w:tcW w:w="25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6.1教学质量监控（5分）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6.1.1教育教学管理制度的建立与执行（2分）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kern w:val="0"/>
                <w:sz w:val="22"/>
                <w:szCs w:val="22"/>
                <w:u w:val="none"/>
                <w:lang w:val="en-US" w:eastAsia="zh-CN" w:bidi="ar"/>
              </w:rPr>
            </w:pPr>
          </w:p>
        </w:tc>
        <w:tc>
          <w:tcPr>
            <w:tcW w:w="257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6.1.2教学环节质量标准建设情况（3分）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6.2质量监控与评价（5分）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6.2.1教学质量监控情况（2分）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6.2.2评价机制建设与运行情况（3分）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b/>
                <w:bCs/>
                <w:i w:val="0"/>
                <w:iCs w:val="0"/>
                <w:color w:val="auto"/>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6.3持续改进（5分）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6.3.1反馈与改进（5分）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7.附加项目（5分）</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7.1专业特色（5分）</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0"/>
                <w:szCs w:val="20"/>
                <w:highlight w:val="none"/>
                <w:u w:val="none"/>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7"/>
              <w:rPr>
                <w:rFonts w:hint="default"/>
                <w:lang w:val="en-US" w:eastAsia="zh-CN"/>
              </w:rPr>
            </w:pPr>
            <w:r>
              <w:rPr>
                <w:rFonts w:hint="eastAsia"/>
                <w:lang w:val="en-US" w:eastAsia="zh-CN"/>
              </w:rPr>
              <w:t>自评得分</w:t>
            </w:r>
          </w:p>
        </w:tc>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7"/>
              <w:rPr>
                <w:rFonts w:hint="default"/>
                <w:lang w:val="en-US" w:eastAsia="zh-CN"/>
              </w:rPr>
            </w:pPr>
            <w:r>
              <w:rPr>
                <w:rFonts w:hint="eastAsia"/>
                <w:lang w:val="en-US" w:eastAsia="zh-CN"/>
              </w:rPr>
              <w:t>自评结论</w:t>
            </w:r>
          </w:p>
        </w:tc>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1"/>
                <w:szCs w:val="21"/>
                <w:u w:val="none"/>
              </w:rPr>
            </w:pPr>
          </w:p>
        </w:tc>
      </w:tr>
    </w:tbl>
    <w:p>
      <w:pPr>
        <w:keepNext w:val="0"/>
        <w:keepLines w:val="0"/>
        <w:pageBreakBefore w:val="0"/>
        <w:widowControl/>
        <w:numPr>
          <w:ilvl w:val="0"/>
          <w:numId w:val="0"/>
        </w:numPr>
        <w:kinsoku/>
        <w:wordWrap/>
        <w:overflowPunct/>
        <w:topLinePunct w:val="0"/>
        <w:autoSpaceDE/>
        <w:autoSpaceDN/>
        <w:bidi w:val="0"/>
        <w:adjustRightInd/>
        <w:snapToGrid/>
        <w:spacing w:before="313" w:beforeLines="100" w:line="260" w:lineRule="exact"/>
        <w:ind w:firstLine="422" w:firstLineChars="200"/>
        <w:jc w:val="left"/>
        <w:textAlignment w:val="auto"/>
        <w:rPr>
          <w:rFonts w:hint="eastAsia" w:ascii="宋体" w:hAnsi="宋体" w:eastAsia="宋体" w:cs="宋体"/>
          <w:b w:val="0"/>
          <w:bCs/>
          <w:sz w:val="21"/>
          <w:szCs w:val="21"/>
          <w:lang w:val="en-US" w:eastAsia="zh-CN"/>
        </w:rPr>
      </w:pPr>
      <w:r>
        <w:rPr>
          <w:rFonts w:hint="eastAsia"/>
          <w:b/>
          <w:sz w:val="21"/>
          <w:szCs w:val="21"/>
          <w:lang w:val="en-US" w:eastAsia="zh-CN"/>
        </w:rPr>
        <w:t>注：</w:t>
      </w:r>
      <w:r>
        <w:rPr>
          <w:rFonts w:hint="eastAsia" w:ascii="宋体" w:hAnsi="宋体" w:eastAsia="宋体" w:cs="宋体"/>
          <w:b w:val="0"/>
          <w:bCs/>
          <w:sz w:val="21"/>
          <w:szCs w:val="21"/>
          <w:lang w:val="en-US" w:eastAsia="zh-CN"/>
        </w:rPr>
        <w:t>各主要观测点设定了分值，合计为100分。评估标准给出了A、B、C三个等级标准，A等级系数取值[0.85，1.0]，B等级系数取值[0.6，0.85]，C等级系数取值[0.0,0.6]，各专业评估最终得分=∑（各观测点分值×等级系数取值）。最终评估结论为优秀（最终得分≥85分）、合格（60分≤最终得分＜85分）、不合格（最终得分＜60分）。</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b/>
          <w:sz w:val="32"/>
          <w:szCs w:val="32"/>
        </w:rPr>
      </w:pPr>
      <w:r>
        <w:rPr>
          <w:rFonts w:hint="eastAsia"/>
          <w:b/>
          <w:color w:val="auto"/>
          <w:sz w:val="32"/>
          <w:szCs w:val="32"/>
          <w:lang w:val="en-US" w:eastAsia="zh-CN"/>
        </w:rPr>
        <w:br w:type="page"/>
      </w:r>
      <w:r>
        <w:rPr>
          <w:rFonts w:hint="eastAsia"/>
          <w:b/>
          <w:color w:val="auto"/>
          <w:sz w:val="32"/>
          <w:szCs w:val="32"/>
          <w:lang w:val="en-US" w:eastAsia="zh-CN"/>
        </w:rPr>
        <w:t>三、</w:t>
      </w:r>
      <w:r>
        <w:rPr>
          <w:rFonts w:hint="eastAsia"/>
          <w:b/>
          <w:color w:val="auto"/>
          <w:sz w:val="32"/>
          <w:szCs w:val="32"/>
        </w:rPr>
        <w:t>专业自评</w:t>
      </w:r>
      <w:r>
        <w:rPr>
          <w:rFonts w:hint="eastAsia"/>
          <w:b/>
          <w:color w:val="auto"/>
          <w:sz w:val="32"/>
          <w:szCs w:val="32"/>
          <w:lang w:val="en-US" w:eastAsia="zh-CN"/>
        </w:rPr>
        <w:t>分析</w:t>
      </w:r>
      <w:r>
        <w:rPr>
          <w:rFonts w:hint="eastAsia"/>
          <w:b/>
          <w:color w:val="auto"/>
          <w:sz w:val="32"/>
          <w:szCs w:val="32"/>
        </w:rPr>
        <w:t>表</w:t>
      </w:r>
    </w:p>
    <w:tbl>
      <w:tblPr>
        <w:tblStyle w:val="8"/>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119"/>
        <w:gridCol w:w="611"/>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119"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119" w:type="dxa"/>
            <w:vMerge w:val="continue"/>
            <w:noWrap w:val="0"/>
            <w:vAlign w:val="center"/>
          </w:tcPr>
          <w:p>
            <w:pPr>
              <w:adjustRightInd w:val="0"/>
              <w:snapToGrid w:val="0"/>
              <w:jc w:val="center"/>
            </w:pPr>
          </w:p>
        </w:tc>
        <w:tc>
          <w:tcPr>
            <w:tcW w:w="6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等级</w:t>
            </w:r>
          </w:p>
        </w:tc>
        <w:tc>
          <w:tcPr>
            <w:tcW w:w="6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等级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专业设置</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与规划（7分）</w:t>
            </w:r>
          </w:p>
        </w:tc>
        <w:tc>
          <w:tcPr>
            <w:tcW w:w="1559" w:type="dxa"/>
            <w:noWrap w:val="0"/>
            <w:vAlign w:val="center"/>
          </w:tcPr>
          <w:p>
            <w:pPr>
              <w:adjustRightInd w:val="0"/>
              <w:snapToGrid w:val="0"/>
              <w:jc w:val="center"/>
              <w:rPr>
                <w:rFonts w:hint="eastAsia"/>
                <w:szCs w:val="21"/>
              </w:rPr>
            </w:pPr>
            <w:r>
              <w:rPr>
                <w:rFonts w:hint="eastAsia"/>
                <w:szCs w:val="21"/>
              </w:rPr>
              <w:t>1.1.1</w:t>
            </w:r>
          </w:p>
          <w:p>
            <w:pPr>
              <w:adjustRightInd w:val="0"/>
              <w:snapToGrid w:val="0"/>
              <w:jc w:val="center"/>
              <w:rPr>
                <w:rFonts w:hint="eastAsia" w:eastAsia="宋体"/>
                <w:szCs w:val="21"/>
                <w:lang w:eastAsia="zh-CN"/>
              </w:rPr>
            </w:pPr>
            <w:r>
              <w:rPr>
                <w:rFonts w:hint="eastAsia"/>
                <w:szCs w:val="21"/>
              </w:rPr>
              <w:t>专业建设规划与一流专业建设措施</w:t>
            </w:r>
            <w:r>
              <w:rPr>
                <w:rFonts w:hint="eastAsia"/>
                <w:szCs w:val="21"/>
                <w:lang w:eastAsia="zh-CN"/>
              </w:rPr>
              <w:t>（</w:t>
            </w:r>
            <w:r>
              <w:rPr>
                <w:rFonts w:hint="eastAsia"/>
                <w:szCs w:val="21"/>
                <w:lang w:val="en-US" w:eastAsia="zh-CN"/>
              </w:rPr>
              <w:t>7分</w:t>
            </w:r>
            <w:r>
              <w:rPr>
                <w:rFonts w:hint="eastAsia"/>
                <w:szCs w:val="21"/>
                <w:lang w:eastAsia="zh-CN"/>
              </w:rPr>
              <w:t>）</w:t>
            </w:r>
          </w:p>
        </w:tc>
        <w:tc>
          <w:tcPr>
            <w:tcW w:w="5119" w:type="dxa"/>
            <w:noWrap w:val="0"/>
            <w:vAlign w:val="center"/>
          </w:tcPr>
          <w:p>
            <w:pPr>
              <w:adjustRightInd w:val="0"/>
              <w:snapToGrid w:val="0"/>
              <w:rPr>
                <w:rFonts w:ascii="仿宋" w:hAnsi="仿宋" w:eastAsia="仿宋"/>
                <w:szCs w:val="21"/>
              </w:rPr>
            </w:pPr>
            <w:r>
              <w:rPr>
                <w:rFonts w:hint="eastAsia" w:ascii="仿宋" w:hAnsi="仿宋" w:eastAsia="仿宋" w:cs="仿宋"/>
                <w:i w:val="0"/>
                <w:iCs w:val="0"/>
                <w:color w:val="000000"/>
                <w:kern w:val="0"/>
                <w:sz w:val="20"/>
                <w:szCs w:val="20"/>
                <w:u w:val="none"/>
                <w:lang w:val="en-US" w:eastAsia="zh-CN" w:bidi="ar"/>
              </w:rPr>
              <w:t>结合“十四五”开局，重点考察专业建设规划的制订和执行情况；一流专业建设措施</w:t>
            </w:r>
          </w:p>
        </w:tc>
        <w:tc>
          <w:tcPr>
            <w:tcW w:w="611"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B</w:t>
            </w:r>
          </w:p>
        </w:tc>
        <w:tc>
          <w:tcPr>
            <w:tcW w:w="662" w:type="dxa"/>
            <w:noWrap w:val="0"/>
            <w:vAlign w:val="center"/>
          </w:tcPr>
          <w:p>
            <w:pPr>
              <w:adjustRightInd w:val="0"/>
              <w:snapToGrid w:val="0"/>
              <w:jc w:val="center"/>
              <w:rPr>
                <w:rFonts w:hint="default" w:ascii="仿宋" w:hAnsi="仿宋" w:eastAsia="仿宋"/>
                <w:szCs w:val="21"/>
                <w:lang w:val="en-US" w:eastAsia="zh-CN"/>
              </w:rPr>
            </w:pPr>
            <w:r>
              <w:rPr>
                <w:rFonts w:hint="eastAsia" w:ascii="仿宋" w:hAnsi="仿宋" w:eastAsia="仿宋"/>
                <w:szCs w:val="21"/>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8"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95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1.1.1舞蹈教育专业建设规划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根据学院十四五的规划与战略部署，本专业指定了以下建设规划：</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才培养：根据国家、大学和专业需求适时调整本科人才培养方案，持续改进大纲，优化课程体系，以产出为导向，教学监督贯穿整个教学过程，考核过程化、合理化，毕业达成可量化、反馈渠道多样化。构建合理有效的闭环式人才培养模式。</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质量监控：完善教学质量监控体系，在生源质量控制、教学过程质量控制、教学结果评价方面制定专业教学质量保障、监控与评估办法及实施细则。定期进行全面的自查与评估，为专业的持续发展做好保障。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师资队伍:提高教师队伍整体专业素质与基本素养。落实教师队伍师德师风管理办法，杜绝教师队伍中的不正之风。在学历与职称的提升方面，鼓励教师不断进修学习，充实专业知识，把握学科前沿动态。2025年，计划本专业教师硕士及以上学历教师占比达到83%，高级职称占比达到57%。</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社会服务：进一步加强教师与学生的创作能力，对兵团舞蹈文化以及中国传统文化深入挖掘，加速专业内涵式发展，增强业内认可度及社会影响力。计划在2025年实施兵团中小学舞蹈创作帮扶工作，为兵团中小学生编排在全国范围具有一定影响力的高质量作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pPr>
            <w:r>
              <w:rPr>
                <w:rFonts w:hint="eastAsia" w:ascii="宋体" w:hAnsi="宋体" w:eastAsia="宋体" w:cs="宋体"/>
                <w:sz w:val="24"/>
                <w:szCs w:val="24"/>
                <w:lang w:val="en-US" w:eastAsia="zh-CN"/>
              </w:rPr>
              <w:t>(5)交流与合作：加强与疆内外高校的交流合作，建立长期的交流机制。在专业建设方面、人才培养方面、学术交流方面寻求合作。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951" w:type="dxa"/>
            <w:gridSpan w:val="4"/>
            <w:noWrap w:val="0"/>
            <w:vAlign w:val="top"/>
          </w:tcPr>
          <w:p>
            <w:pPr>
              <w:rPr>
                <w:rFonts w:hint="default"/>
                <w:lang w:val="en-US" w:eastAsia="zh-CN"/>
              </w:rPr>
            </w:pPr>
          </w:p>
        </w:tc>
      </w:tr>
    </w:tbl>
    <w:p/>
    <w:p>
      <w:pPr>
        <w:widowControl/>
        <w:jc w:val="left"/>
      </w:pPr>
    </w:p>
    <w:tbl>
      <w:tblPr>
        <w:tblStyle w:val="8"/>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119"/>
        <w:gridCol w:w="611"/>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119"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119" w:type="dxa"/>
            <w:vMerge w:val="continue"/>
            <w:noWrap w:val="0"/>
            <w:vAlign w:val="center"/>
          </w:tcPr>
          <w:p>
            <w:pPr>
              <w:adjustRightInd w:val="0"/>
              <w:snapToGrid w:val="0"/>
              <w:jc w:val="center"/>
            </w:pPr>
          </w:p>
        </w:tc>
        <w:tc>
          <w:tcPr>
            <w:tcW w:w="6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等级</w:t>
            </w:r>
          </w:p>
        </w:tc>
        <w:tc>
          <w:tcPr>
            <w:tcW w:w="6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等级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b/>
                <w:szCs w:val="21"/>
              </w:rPr>
            </w:pPr>
            <w:r>
              <w:rPr>
                <w:rFonts w:hint="eastAsia" w:ascii="宋体" w:hAnsi="宋体" w:eastAsia="宋体" w:cs="宋体"/>
                <w:b/>
                <w:bCs/>
                <w:i w:val="0"/>
                <w:iCs w:val="0"/>
                <w:color w:val="000000"/>
                <w:kern w:val="0"/>
                <w:sz w:val="20"/>
                <w:szCs w:val="20"/>
                <w:u w:val="none"/>
                <w:lang w:val="en-US" w:eastAsia="zh-CN" w:bidi="ar"/>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培养方案（8分）</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1.2.1</w:t>
            </w:r>
          </w:p>
          <w:p>
            <w:pPr>
              <w:keepNext w:val="0"/>
              <w:keepLines w:val="0"/>
              <w:widowControl/>
              <w:suppressLineNumbers w:val="0"/>
              <w:jc w:val="center"/>
              <w:textAlignment w:val="center"/>
              <w:rPr>
                <w:rFonts w:hint="eastAsia" w:eastAsia="宋体"/>
                <w:szCs w:val="21"/>
                <w:lang w:eastAsia="zh-CN"/>
              </w:rPr>
            </w:pPr>
            <w:r>
              <w:rPr>
                <w:rFonts w:hint="eastAsia" w:ascii="Times New Roman" w:hAnsi="Times New Roman" w:eastAsia="宋体" w:cs="Times New Roman"/>
                <w:szCs w:val="21"/>
                <w:lang w:val="en-US" w:eastAsia="zh-CN"/>
              </w:rPr>
              <w:t>目标与要求（8分）</w:t>
            </w:r>
          </w:p>
        </w:tc>
        <w:tc>
          <w:tcPr>
            <w:tcW w:w="5119" w:type="dxa"/>
            <w:noWrap w:val="0"/>
            <w:vAlign w:val="top"/>
          </w:tcPr>
          <w:p>
            <w:pPr>
              <w:keepNext w:val="0"/>
              <w:keepLines w:val="0"/>
              <w:widowControl/>
              <w:suppressLineNumbers w:val="0"/>
              <w:jc w:val="left"/>
              <w:textAlignment w:val="top"/>
              <w:rPr>
                <w:rFonts w:ascii="仿宋" w:hAnsi="仿宋" w:eastAsia="仿宋"/>
                <w:szCs w:val="21"/>
              </w:rPr>
            </w:pPr>
            <w:r>
              <w:rPr>
                <w:rFonts w:hint="eastAsia" w:ascii="仿宋" w:hAnsi="仿宋" w:eastAsia="仿宋" w:cs="仿宋"/>
                <w:i w:val="0"/>
                <w:iCs w:val="0"/>
                <w:color w:val="000000"/>
                <w:kern w:val="0"/>
                <w:sz w:val="20"/>
                <w:szCs w:val="20"/>
                <w:u w:val="none"/>
                <w:lang w:val="en-US" w:eastAsia="zh-CN" w:bidi="ar"/>
              </w:rPr>
              <w:t>培养目标与国家要求、社会需求及学校定位的吻合度；培养方案制定程序规范严谨、科学；培养方案制定修订过程中有企业行业专家参与</w:t>
            </w:r>
          </w:p>
        </w:tc>
        <w:tc>
          <w:tcPr>
            <w:tcW w:w="611"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A</w:t>
            </w:r>
          </w:p>
        </w:tc>
        <w:tc>
          <w:tcPr>
            <w:tcW w:w="662" w:type="dxa"/>
            <w:noWrap w:val="0"/>
            <w:vAlign w:val="center"/>
          </w:tcPr>
          <w:p>
            <w:pPr>
              <w:adjustRightInd w:val="0"/>
              <w:snapToGrid w:val="0"/>
              <w:jc w:val="center"/>
              <w:rPr>
                <w:rFonts w:hint="default"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8"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951" w:type="dxa"/>
            <w:gridSpan w:val="4"/>
            <w:noWrap w:val="0"/>
            <w:vAlign w:val="center"/>
          </w:tcPr>
          <w:p>
            <w:pPr>
              <w:pageBreakBefore w:val="0"/>
              <w:widowControl/>
              <w:kinsoku/>
              <w:wordWrap/>
              <w:overflowPunct/>
              <w:topLinePunct w:val="0"/>
              <w:autoSpaceDE/>
              <w:autoSpaceDN/>
              <w:bidi w:val="0"/>
              <w:spacing w:line="360" w:lineRule="auto"/>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1.2人才培养方案</w:t>
            </w:r>
          </w:p>
          <w:p>
            <w:pPr>
              <w:pageBreakBefore w:val="0"/>
              <w:widowControl/>
              <w:kinsoku/>
              <w:wordWrap/>
              <w:overflowPunct/>
              <w:topLinePunct w:val="0"/>
              <w:autoSpaceDE/>
              <w:autoSpaceDN/>
              <w:bidi w:val="0"/>
              <w:spacing w:line="360" w:lineRule="auto"/>
              <w:ind w:firstLine="480" w:firstLineChars="20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舞蹈教育（师范）本科专业的人才培养方案是经过修订小组的多次调研和论证后完成的，先后调</w:t>
            </w:r>
            <w:r>
              <w:rPr>
                <w:rFonts w:hint="eastAsia" w:ascii="宋体" w:hAnsi="宋体" w:eastAsia="宋体" w:cs="宋体"/>
                <w:kern w:val="0"/>
                <w:sz w:val="24"/>
                <w:szCs w:val="24"/>
              </w:rPr>
              <w:t>研了陕西师范大学、新疆艺术学院、四川大学等在舞蹈类专业教学中具有多年经验的高校和疆内各师市中小学。</w:t>
            </w:r>
            <w:r>
              <w:rPr>
                <w:rFonts w:hint="eastAsia" w:ascii="宋体" w:hAnsi="宋体" w:eastAsia="宋体" w:cs="宋体"/>
                <w:color w:val="000000"/>
                <w:kern w:val="0"/>
                <w:sz w:val="24"/>
                <w:szCs w:val="24"/>
              </w:rPr>
              <w:t>围绕着培养目标与国家要求、社会需求的吻合度，课程开课先后顺序的合理性，实践学分的占比及学期课程分布的均衡性等问题进行了修订。培养目标和毕业要求的制定依据国家质量标准与一线专家、在行业内具有资深背景的舞蹈专业教师反复论证，确定合理的培养目标和毕业要求，根据培养目标和毕业要求设置课程。</w:t>
            </w:r>
          </w:p>
          <w:p>
            <w:pPr>
              <w:pageBreakBefore w:val="0"/>
              <w:widowControl/>
              <w:kinsoku/>
              <w:wordWrap/>
              <w:overflowPunct/>
              <w:topLinePunct w:val="0"/>
              <w:autoSpaceDE/>
              <w:autoSpaceDN/>
              <w:bidi w:val="0"/>
              <w:spacing w:line="360" w:lineRule="auto"/>
              <w:ind w:firstLine="480" w:firstLineChars="20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通过对照调研高校人才培养方案中的课时量及课时分布情况，结合我系实际，制定了较为合理的课程体系框架。目前总学分为153学分，其中必修126学分，选修27学分，一至五学期的学分分配较为均衡合理。</w:t>
            </w:r>
          </w:p>
          <w:p>
            <w:pPr>
              <w:keepNext/>
              <w:keepLines/>
              <w:pageBreakBefore w:val="0"/>
              <w:kinsoku/>
              <w:wordWrap/>
              <w:overflowPunct/>
              <w:topLinePunct w:val="0"/>
              <w:autoSpaceDE/>
              <w:autoSpaceDN/>
              <w:bidi w:val="0"/>
              <w:spacing w:before="60" w:after="60" w:line="360" w:lineRule="auto"/>
              <w:jc w:val="center"/>
              <w:textAlignment w:val="auto"/>
              <w:outlineLvl w:val="2"/>
              <w:rPr>
                <w:rFonts w:ascii="Times New Roman" w:hAnsi="Times New Roman" w:eastAsia="宋体" w:cs="Times New Roman"/>
                <w:b/>
                <w:bCs/>
                <w:szCs w:val="21"/>
              </w:rPr>
            </w:pPr>
            <w:r>
              <w:rPr>
                <w:rFonts w:hint="eastAsia" w:ascii="Times New Roman" w:hAnsi="Times New Roman" w:eastAsia="宋体" w:cs="宋体"/>
                <w:b/>
                <w:bCs/>
                <w:kern w:val="0"/>
                <w:szCs w:val="21"/>
              </w:rPr>
              <w:t>学时分配表</w:t>
            </w:r>
          </w:p>
          <w:p>
            <w:pPr>
              <w:keepNext/>
              <w:keepLines/>
              <w:pageBreakBefore w:val="0"/>
              <w:kinsoku/>
              <w:wordWrap/>
              <w:overflowPunct/>
              <w:topLinePunct w:val="0"/>
              <w:autoSpaceDE/>
              <w:autoSpaceDN/>
              <w:bidi w:val="0"/>
              <w:spacing w:before="60" w:after="60" w:line="360" w:lineRule="auto"/>
              <w:textAlignment w:val="auto"/>
              <w:outlineLvl w:val="2"/>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drawing>
                <wp:inline distT="0" distB="0" distL="114300" distR="114300">
                  <wp:extent cx="4906010" cy="2647315"/>
                  <wp:effectExtent l="0" t="0" r="8890" b="635"/>
                  <wp:docPr id="3" name="图片 3" descr="1679283160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79283160683"/>
                          <pic:cNvPicPr>
                            <a:picLocks noChangeAspect="1"/>
                          </pic:cNvPicPr>
                        </pic:nvPicPr>
                        <pic:blipFill>
                          <a:blip r:embed="rId13"/>
                          <a:stretch>
                            <a:fillRect/>
                          </a:stretch>
                        </pic:blipFill>
                        <pic:spPr>
                          <a:xfrm>
                            <a:off x="0" y="0"/>
                            <a:ext cx="4906010" cy="2647315"/>
                          </a:xfrm>
                          <a:prstGeom prst="rect">
                            <a:avLst/>
                          </a:prstGeom>
                        </pic:spPr>
                      </pic:pic>
                    </a:graphicData>
                  </a:graphic>
                </wp:inline>
              </w:drawing>
            </w:r>
          </w:p>
          <w:p>
            <w:pPr>
              <w:pageBreakBefore w:val="0"/>
              <w:kinsoku/>
              <w:wordWrap/>
              <w:overflowPunct/>
              <w:topLinePunct w:val="0"/>
              <w:autoSpaceDE/>
              <w:autoSpaceDN/>
              <w:bidi w:val="0"/>
              <w:adjustRightInd w:val="0"/>
              <w:snapToGrid w:val="0"/>
              <w:spacing w:line="360" w:lineRule="auto"/>
              <w:textAlignment w:val="auto"/>
              <w:rPr>
                <w:rFonts w:ascii="宋体" w:hAnsi="宋体" w:eastAsia="宋体" w:cs="宋体"/>
                <w:b w:val="0"/>
                <w:bCs w:val="0"/>
                <w:sz w:val="24"/>
                <w:szCs w:val="24"/>
              </w:rPr>
            </w:pPr>
            <w:r>
              <w:rPr>
                <w:rFonts w:hint="eastAsia" w:ascii="Times New Roman" w:hAnsi="Times New Roman" w:eastAsia="宋体" w:cs="Times New Roman"/>
                <w:b w:val="0"/>
                <w:bCs w:val="0"/>
                <w:sz w:val="24"/>
                <w:szCs w:val="24"/>
                <w:lang w:val="en-US" w:eastAsia="zh-CN"/>
              </w:rPr>
              <w:t>1.2.1人</w:t>
            </w:r>
            <w:r>
              <w:rPr>
                <w:rFonts w:hint="eastAsia" w:ascii="宋体" w:hAnsi="宋体" w:eastAsia="宋体" w:cs="宋体"/>
                <w:b w:val="0"/>
                <w:bCs w:val="0"/>
                <w:sz w:val="24"/>
                <w:szCs w:val="24"/>
              </w:rPr>
              <w:t>才培养方案</w:t>
            </w:r>
            <w:r>
              <w:rPr>
                <w:rFonts w:hint="eastAsia" w:ascii="宋体" w:hAnsi="宋体" w:eastAsia="宋体" w:cs="宋体"/>
                <w:b w:val="0"/>
                <w:bCs w:val="0"/>
                <w:sz w:val="24"/>
                <w:szCs w:val="24"/>
                <w:lang w:val="en-US" w:eastAsia="zh-CN"/>
              </w:rPr>
              <w:t>目标与要求</w:t>
            </w:r>
            <w:r>
              <w:rPr>
                <w:rFonts w:hint="eastAsia" w:ascii="宋体" w:hAnsi="宋体" w:eastAsia="宋体" w:cs="宋体"/>
                <w:b w:val="0"/>
                <w:bCs w:val="0"/>
                <w:sz w:val="24"/>
                <w:szCs w:val="24"/>
              </w:rPr>
              <w:t>分析</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（1)培养方案符合《音乐与舞蹈学类本科教学质量国家标准》、《中学教育专业认证标准》、《师范类专业认证标准》对培养目标的要求；</w:t>
            </w:r>
          </w:p>
          <w:p>
            <w:pPr>
              <w:keepNext/>
              <w:keepLines/>
              <w:pageBreakBefore w:val="0"/>
              <w:kinsoku/>
              <w:wordWrap/>
              <w:overflowPunct/>
              <w:topLinePunct w:val="0"/>
              <w:autoSpaceDE/>
              <w:autoSpaceDN/>
              <w:bidi w:val="0"/>
              <w:spacing w:before="60" w:after="60" w:line="360" w:lineRule="auto"/>
              <w:ind w:firstLine="480" w:firstLineChars="200"/>
              <w:textAlignment w:val="auto"/>
              <w:outlineLvl w:val="2"/>
              <w:rPr>
                <w:rFonts w:ascii="宋体" w:hAnsi="宋体" w:eastAsia="宋体" w:cs="宋体"/>
                <w:sz w:val="24"/>
                <w:szCs w:val="32"/>
              </w:rPr>
            </w:pPr>
            <w:r>
              <w:rPr>
                <w:rFonts w:hint="eastAsia" w:ascii="宋体" w:hAnsi="宋体" w:eastAsia="宋体" w:cs="宋体"/>
                <w:sz w:val="24"/>
                <w:szCs w:val="24"/>
              </w:rPr>
              <w:t>（2)体现德、智、体、美全面发展的社会需求</w:t>
            </w:r>
            <w:r>
              <w:rPr>
                <w:rFonts w:hint="eastAsia" w:ascii="宋体" w:hAnsi="宋体" w:eastAsia="宋体" w:cs="宋体"/>
                <w:sz w:val="24"/>
                <w:szCs w:val="32"/>
              </w:rPr>
              <w:t>，注重舞台经验和人文素质的综合性培养；</w:t>
            </w:r>
          </w:p>
          <w:p>
            <w:pPr>
              <w:keepNext/>
              <w:keepLines/>
              <w:pageBreakBefore w:val="0"/>
              <w:kinsoku/>
              <w:wordWrap/>
              <w:overflowPunct/>
              <w:topLinePunct w:val="0"/>
              <w:autoSpaceDE/>
              <w:autoSpaceDN/>
              <w:bidi w:val="0"/>
              <w:spacing w:before="60" w:after="60" w:line="360" w:lineRule="auto"/>
              <w:ind w:firstLine="480"/>
              <w:textAlignment w:val="auto"/>
              <w:outlineLvl w:val="2"/>
              <w:rPr>
                <w:rFonts w:ascii="宋体" w:hAnsi="宋体" w:eastAsia="宋体" w:cs="宋体"/>
                <w:sz w:val="24"/>
                <w:szCs w:val="32"/>
              </w:rPr>
            </w:pPr>
            <w:r>
              <w:rPr>
                <w:rFonts w:hint="eastAsia" w:ascii="宋体" w:hAnsi="宋体" w:eastAsia="宋体" w:cs="宋体"/>
                <w:sz w:val="24"/>
                <w:szCs w:val="24"/>
              </w:rPr>
              <w:t>（3)加强对创新和实践能力的培养。</w:t>
            </w:r>
            <w:r>
              <w:rPr>
                <w:rFonts w:hint="eastAsia" w:ascii="宋体" w:hAnsi="宋体" w:eastAsia="宋体" w:cs="宋体"/>
                <w:sz w:val="24"/>
                <w:szCs w:val="32"/>
              </w:rPr>
              <w:t>艺术实践是舞蹈</w:t>
            </w:r>
            <w:r>
              <w:rPr>
                <w:rFonts w:hint="eastAsia" w:ascii="宋体" w:hAnsi="宋体" w:eastAsia="宋体" w:cs="宋体"/>
                <w:sz w:val="24"/>
                <w:szCs w:val="32"/>
                <w:lang w:val="en-US" w:eastAsia="zh-CN"/>
              </w:rPr>
              <w:t>类</w:t>
            </w:r>
            <w:r>
              <w:rPr>
                <w:rFonts w:hint="eastAsia" w:ascii="宋体" w:hAnsi="宋体" w:eastAsia="宋体" w:cs="宋体"/>
                <w:sz w:val="24"/>
                <w:szCs w:val="32"/>
              </w:rPr>
              <w:t>人才培养的必需手段，注重参与性实践和集体性实践比例；</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（4)课程结构更加合理，学分、学时更加优化。教学过程中坚持培养方案目标与结果的一致性；教学对象受益的公平性；以学生为中心的导向性；多样化教学的全面性，以充分反映本专业人才培养的特点。</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szCs w:val="21"/>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修订过程</w:t>
            </w:r>
            <w:r>
              <w:rPr>
                <w:rFonts w:hint="eastAsia" w:ascii="宋体" w:hAnsi="宋体" w:eastAsia="宋体" w:cs="宋体"/>
                <w:sz w:val="24"/>
                <w:szCs w:val="24"/>
              </w:rPr>
              <w:t>与校外中学教师多次共同商议专业课程与实践环节课程的修订；聘请内地高校专家教授对2022版人培进行审阅并提出修改意见，并对专家教授的意见进行商议讨论后再次修改。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951" w:type="dxa"/>
            <w:gridSpan w:val="4"/>
            <w:noWrap w:val="0"/>
            <w:vAlign w:val="top"/>
          </w:tcPr>
          <w:p>
            <w:pPr>
              <w:rPr>
                <w:rFonts w:hint="eastAsia"/>
                <w:lang w:val="en-US" w:eastAsia="zh-CN"/>
              </w:rPr>
            </w:pPr>
            <w:r>
              <w:rPr>
                <w:rFonts w:hint="eastAsia"/>
                <w:lang w:val="en-US" w:eastAsia="zh-CN"/>
              </w:rPr>
              <w:t>1.2人才培养方案论证过程记录表</w:t>
            </w:r>
          </w:p>
          <w:p>
            <w:pPr>
              <w:rPr>
                <w:rFonts w:hint="eastAsia"/>
                <w:lang w:val="en-US" w:eastAsia="zh-CN"/>
              </w:rPr>
            </w:pPr>
            <w:r>
              <w:rPr>
                <w:rFonts w:hint="eastAsia"/>
                <w:lang w:val="en-US" w:eastAsia="zh-CN"/>
              </w:rPr>
              <w:t>1.2.1舞蹈教育本科专业人才培养方案定稿</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tc>
      </w:tr>
    </w:tbl>
    <w:p>
      <w:r>
        <w:br w:type="page"/>
      </w:r>
    </w:p>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50"/>
        <w:gridCol w:w="512"/>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50"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1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50" w:type="dxa"/>
            <w:vMerge w:val="continue"/>
            <w:noWrap w:val="0"/>
            <w:vAlign w:val="center"/>
          </w:tcPr>
          <w:p>
            <w:pPr>
              <w:adjustRightInd w:val="0"/>
              <w:snapToGrid w:val="0"/>
              <w:jc w:val="center"/>
            </w:pPr>
          </w:p>
        </w:tc>
        <w:tc>
          <w:tcPr>
            <w:tcW w:w="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等级</w:t>
            </w:r>
          </w:p>
        </w:tc>
        <w:tc>
          <w:tcPr>
            <w:tcW w:w="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b/>
                <w:szCs w:val="21"/>
                <w:lang w:val="en-US"/>
              </w:rPr>
            </w:pPr>
            <w:r>
              <w:rPr>
                <w:rFonts w:hint="eastAsia" w:ascii="宋体" w:hAnsi="宋体" w:eastAsia="宋体" w:cs="宋体"/>
                <w:b/>
                <w:bCs/>
                <w:i w:val="0"/>
                <w:iCs w:val="0"/>
                <w:color w:val="000000"/>
                <w:kern w:val="0"/>
                <w:sz w:val="20"/>
                <w:szCs w:val="20"/>
                <w:u w:val="none"/>
                <w:lang w:val="en-US" w:eastAsia="zh-CN" w:bidi="ar"/>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76"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育人</w:t>
            </w:r>
          </w:p>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（2分）</w:t>
            </w:r>
          </w:p>
        </w:tc>
        <w:tc>
          <w:tcPr>
            <w:tcW w:w="1559"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2.1.1</w:t>
            </w:r>
          </w:p>
          <w:p>
            <w:pPr>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落实师德师风是评价教师第一标准的情况（1分）</w:t>
            </w:r>
          </w:p>
        </w:tc>
        <w:tc>
          <w:tcPr>
            <w:tcW w:w="5050" w:type="dxa"/>
            <w:noWrap w:val="0"/>
            <w:vAlign w:val="top"/>
          </w:tcPr>
          <w:p>
            <w:pPr>
              <w:keepNext w:val="0"/>
              <w:keepLines w:val="0"/>
              <w:widowControl/>
              <w:suppressLineNumbers w:val="0"/>
              <w:jc w:val="left"/>
              <w:textAlignment w:val="top"/>
              <w:rPr>
                <w:rFonts w:ascii="仿宋" w:hAnsi="仿宋" w:eastAsia="仿宋" w:cs="Times New Roman"/>
                <w:szCs w:val="21"/>
              </w:rPr>
            </w:pPr>
            <w:r>
              <w:rPr>
                <w:rFonts w:hint="eastAsia" w:ascii="仿宋" w:hAnsi="仿宋" w:eastAsia="仿宋" w:cs="仿宋"/>
                <w:i w:val="0"/>
                <w:iCs w:val="0"/>
                <w:color w:val="000000"/>
                <w:kern w:val="0"/>
                <w:sz w:val="20"/>
                <w:szCs w:val="20"/>
                <w:u w:val="none"/>
                <w:lang w:val="en-US" w:eastAsia="zh-CN" w:bidi="ar"/>
              </w:rPr>
              <w:t>重点考察评价教师师德师风标准的制定与落实情况</w:t>
            </w:r>
          </w:p>
        </w:tc>
        <w:tc>
          <w:tcPr>
            <w:tcW w:w="512"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A</w:t>
            </w:r>
          </w:p>
        </w:tc>
        <w:tc>
          <w:tcPr>
            <w:tcW w:w="670"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2.1.2</w:t>
            </w:r>
          </w:p>
          <w:p>
            <w:pPr>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落实师德考核贯穿于教育教学全过程等方面的情况（1分）</w:t>
            </w:r>
          </w:p>
        </w:tc>
        <w:tc>
          <w:tcPr>
            <w:tcW w:w="5050" w:type="dxa"/>
            <w:noWrap w:val="0"/>
            <w:vAlign w:val="top"/>
          </w:tcPr>
          <w:p>
            <w:pPr>
              <w:keepNext w:val="0"/>
              <w:keepLines w:val="0"/>
              <w:widowControl/>
              <w:suppressLineNumbers w:val="0"/>
              <w:jc w:val="left"/>
              <w:textAlignment w:val="top"/>
              <w:rPr>
                <w:rFonts w:ascii="仿宋" w:hAnsi="仿宋" w:eastAsia="仿宋" w:cs="Times New Roman"/>
                <w:szCs w:val="21"/>
              </w:rPr>
            </w:pPr>
            <w:r>
              <w:rPr>
                <w:rFonts w:hint="eastAsia" w:ascii="仿宋" w:hAnsi="仿宋" w:eastAsia="仿宋" w:cs="仿宋"/>
                <w:i w:val="0"/>
                <w:iCs w:val="0"/>
                <w:color w:val="000000"/>
                <w:kern w:val="0"/>
                <w:sz w:val="20"/>
                <w:szCs w:val="20"/>
                <w:u w:val="none"/>
                <w:lang w:val="en-US" w:eastAsia="zh-CN" w:bidi="ar"/>
              </w:rPr>
              <w:t>师德考核的要素如爱国守法、教书育人、政治品德、为人师表等在教育教学全过程各环节中的落实情况</w:t>
            </w:r>
          </w:p>
        </w:tc>
        <w:tc>
          <w:tcPr>
            <w:tcW w:w="512"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A</w:t>
            </w:r>
          </w:p>
        </w:tc>
        <w:tc>
          <w:tcPr>
            <w:tcW w:w="670"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7"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.1师德师风制定与落实情况</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及时部署整改。</w:t>
            </w:r>
            <w:r>
              <w:rPr>
                <w:rFonts w:hint="eastAsia" w:ascii="宋体" w:hAnsi="宋体" w:cs="宋体"/>
                <w:sz w:val="24"/>
                <w:szCs w:val="24"/>
                <w:lang w:val="en-US" w:eastAsia="zh-CN"/>
              </w:rPr>
              <w:t>音乐与舞蹈系多次</w:t>
            </w:r>
            <w:r>
              <w:rPr>
                <w:rFonts w:hint="eastAsia" w:ascii="宋体" w:hAnsi="宋体" w:eastAsia="宋体" w:cs="宋体"/>
                <w:sz w:val="24"/>
                <w:szCs w:val="24"/>
              </w:rPr>
              <w:t>召开会议，学习</w:t>
            </w:r>
            <w:r>
              <w:rPr>
                <w:rFonts w:hint="eastAsia" w:ascii="宋体" w:hAnsi="宋体" w:cs="宋体"/>
                <w:sz w:val="24"/>
                <w:szCs w:val="24"/>
                <w:lang w:val="en-US" w:eastAsia="zh-CN"/>
              </w:rPr>
              <w:t>加强</w:t>
            </w:r>
            <w:r>
              <w:rPr>
                <w:rFonts w:hint="eastAsia" w:ascii="宋体" w:hAnsi="宋体" w:eastAsia="宋体" w:cs="宋体"/>
                <w:sz w:val="24"/>
                <w:szCs w:val="24"/>
              </w:rPr>
              <w:t>师德师风</w:t>
            </w:r>
            <w:r>
              <w:rPr>
                <w:rFonts w:hint="eastAsia" w:ascii="宋体" w:hAnsi="宋体" w:cs="宋体"/>
                <w:sz w:val="24"/>
                <w:szCs w:val="24"/>
                <w:lang w:val="en-US" w:eastAsia="zh-CN"/>
              </w:rPr>
              <w:t>建设</w:t>
            </w:r>
            <w:r>
              <w:rPr>
                <w:rFonts w:hint="eastAsia" w:ascii="宋体" w:hAnsi="宋体" w:eastAsia="宋体" w:cs="宋体"/>
                <w:sz w:val="24"/>
                <w:szCs w:val="24"/>
              </w:rPr>
              <w:t>的相关文件精神，研究部署师德师风自查工作。为确保自查活动扎实、有效开展，成立了以</w:t>
            </w:r>
            <w:r>
              <w:rPr>
                <w:rFonts w:hint="eastAsia" w:ascii="宋体" w:hAnsi="宋体" w:eastAsia="宋体" w:cs="宋体"/>
                <w:sz w:val="24"/>
                <w:szCs w:val="24"/>
                <w:lang w:val="en-US" w:eastAsia="zh-CN"/>
              </w:rPr>
              <w:t>系</w:t>
            </w:r>
            <w:r>
              <w:rPr>
                <w:rFonts w:hint="eastAsia" w:ascii="宋体" w:hAnsi="宋体" w:cs="宋体"/>
                <w:sz w:val="24"/>
                <w:szCs w:val="24"/>
                <w:lang w:val="en-US" w:eastAsia="zh-CN"/>
              </w:rPr>
              <w:t>书记</w:t>
            </w:r>
            <w:r>
              <w:rPr>
                <w:rFonts w:hint="eastAsia" w:ascii="宋体" w:hAnsi="宋体" w:eastAsia="宋体" w:cs="宋体"/>
                <w:sz w:val="24"/>
                <w:szCs w:val="24"/>
              </w:rPr>
              <w:t>为组长，</w:t>
            </w:r>
            <w:r>
              <w:rPr>
                <w:rFonts w:hint="eastAsia" w:ascii="宋体" w:hAnsi="宋体" w:cs="宋体"/>
                <w:sz w:val="24"/>
                <w:szCs w:val="24"/>
                <w:lang w:val="en-US" w:eastAsia="zh-CN"/>
              </w:rPr>
              <w:t>系主任、支委及</w:t>
            </w:r>
            <w:r>
              <w:rPr>
                <w:rFonts w:hint="eastAsia" w:ascii="宋体" w:hAnsi="宋体" w:eastAsia="宋体" w:cs="宋体"/>
                <w:sz w:val="24"/>
                <w:szCs w:val="24"/>
              </w:rPr>
              <w:t>部分</w:t>
            </w:r>
            <w:r>
              <w:rPr>
                <w:rFonts w:hint="eastAsia" w:ascii="宋体" w:hAnsi="宋体" w:eastAsia="宋体" w:cs="宋体"/>
                <w:sz w:val="24"/>
                <w:szCs w:val="24"/>
                <w:lang w:val="en-US" w:eastAsia="zh-CN"/>
              </w:rPr>
              <w:t>教师</w:t>
            </w:r>
            <w:r>
              <w:rPr>
                <w:rFonts w:hint="eastAsia" w:ascii="宋体" w:hAnsi="宋体" w:eastAsia="宋体" w:cs="宋体"/>
                <w:sz w:val="24"/>
                <w:szCs w:val="24"/>
              </w:rPr>
              <w:t>为成员的自查小组。</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动员学习。在</w:t>
            </w:r>
            <w:r>
              <w:rPr>
                <w:rFonts w:hint="eastAsia" w:ascii="宋体" w:hAnsi="宋体" w:eastAsia="宋体" w:cs="宋体"/>
                <w:sz w:val="24"/>
                <w:szCs w:val="24"/>
                <w:lang w:val="en-US" w:eastAsia="zh-CN"/>
              </w:rPr>
              <w:t>校级师德师风</w:t>
            </w:r>
            <w:r>
              <w:rPr>
                <w:rFonts w:hint="eastAsia" w:ascii="宋体" w:hAnsi="宋体" w:eastAsia="宋体" w:cs="宋体"/>
                <w:sz w:val="24"/>
                <w:szCs w:val="24"/>
              </w:rPr>
              <w:t>会议结束后，</w:t>
            </w:r>
            <w:r>
              <w:rPr>
                <w:rFonts w:hint="eastAsia" w:ascii="宋体" w:hAnsi="宋体" w:cs="宋体"/>
                <w:sz w:val="24"/>
                <w:szCs w:val="24"/>
                <w:lang w:val="en-US" w:eastAsia="zh-CN"/>
              </w:rPr>
              <w:t>我</w:t>
            </w:r>
            <w:r>
              <w:rPr>
                <w:rFonts w:hint="eastAsia" w:ascii="宋体" w:hAnsi="宋体" w:eastAsia="宋体" w:cs="宋体"/>
                <w:sz w:val="24"/>
                <w:szCs w:val="24"/>
                <w:lang w:val="en-US" w:eastAsia="zh-CN"/>
              </w:rPr>
              <w:t>系</w:t>
            </w:r>
            <w:r>
              <w:rPr>
                <w:rFonts w:hint="eastAsia" w:ascii="宋体" w:hAnsi="宋体" w:eastAsia="宋体" w:cs="宋体"/>
                <w:sz w:val="24"/>
                <w:szCs w:val="24"/>
              </w:rPr>
              <w:t>及时召开教师大会，结合</w:t>
            </w:r>
            <w:r>
              <w:rPr>
                <w:rFonts w:hint="eastAsia" w:ascii="宋体" w:hAnsi="宋体" w:eastAsia="宋体" w:cs="宋体"/>
                <w:sz w:val="24"/>
                <w:szCs w:val="24"/>
                <w:lang w:val="en-US" w:eastAsia="zh-CN"/>
              </w:rPr>
              <w:t>本专业</w:t>
            </w:r>
            <w:r>
              <w:rPr>
                <w:rFonts w:hint="eastAsia" w:ascii="宋体" w:hAnsi="宋体" w:eastAsia="宋体" w:cs="宋体"/>
                <w:sz w:val="24"/>
                <w:szCs w:val="24"/>
              </w:rPr>
              <w:t>实际工作进行了全面要求和布置，增强了教职工法纪意识，要求教师充分利用课余时间加强学习，学习与本职工作有关的法律法规，增强责任感和使命感。</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加强宣传。为了营造全校师德师风建设舆论氛围，计划</w:t>
            </w:r>
            <w:r>
              <w:rPr>
                <w:rFonts w:hint="eastAsia" w:ascii="宋体" w:hAnsi="宋体" w:eastAsia="宋体" w:cs="宋体"/>
                <w:sz w:val="24"/>
                <w:szCs w:val="24"/>
                <w:lang w:val="en-US" w:eastAsia="zh-CN"/>
              </w:rPr>
              <w:t>9</w:t>
            </w:r>
            <w:r>
              <w:rPr>
                <w:rFonts w:hint="eastAsia" w:ascii="宋体" w:hAnsi="宋体" w:eastAsia="宋体" w:cs="宋体"/>
                <w:sz w:val="24"/>
                <w:szCs w:val="24"/>
              </w:rPr>
              <w:t>月份在校园基础设施改造结束后开辟师德师风建设专栏、展板</w:t>
            </w:r>
            <w:r>
              <w:rPr>
                <w:rFonts w:hint="eastAsia" w:ascii="宋体" w:hAnsi="宋体" w:cs="宋体"/>
                <w:sz w:val="24"/>
                <w:szCs w:val="24"/>
                <w:lang w:eastAsia="zh-CN"/>
              </w:rPr>
              <w:t>、</w:t>
            </w:r>
            <w:r>
              <w:rPr>
                <w:rFonts w:hint="eastAsia" w:ascii="宋体" w:hAnsi="宋体" w:cs="宋体"/>
                <w:sz w:val="24"/>
                <w:szCs w:val="24"/>
                <w:lang w:val="en-US" w:eastAsia="zh-CN"/>
              </w:rPr>
              <w:t>树立师德师风典范</w:t>
            </w:r>
            <w:r>
              <w:rPr>
                <w:rFonts w:hint="eastAsia" w:ascii="宋体" w:hAnsi="宋体" w:eastAsia="宋体" w:cs="宋体"/>
                <w:sz w:val="24"/>
                <w:szCs w:val="24"/>
              </w:rPr>
              <w:t>等，及时宣传和报道师德师风建设工作情况。</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创建交流平台。为了促进交流，</w:t>
            </w:r>
            <w:r>
              <w:rPr>
                <w:rFonts w:hint="eastAsia" w:ascii="宋体" w:hAnsi="宋体" w:cs="宋体"/>
                <w:sz w:val="24"/>
                <w:szCs w:val="24"/>
                <w:lang w:val="en-US" w:eastAsia="zh-CN"/>
              </w:rPr>
              <w:t>我系</w:t>
            </w:r>
            <w:r>
              <w:rPr>
                <w:rFonts w:hint="eastAsia" w:ascii="宋体" w:hAnsi="宋体" w:eastAsia="宋体" w:cs="宋体"/>
                <w:sz w:val="24"/>
                <w:szCs w:val="24"/>
              </w:rPr>
              <w:t>不定时把其他学校，媒体上报道的先进师德师风事迹、学习资料、活动方案、信息、优秀的做法在</w:t>
            </w:r>
            <w:r>
              <w:rPr>
                <w:rFonts w:hint="eastAsia" w:ascii="宋体" w:hAnsi="宋体" w:cs="宋体"/>
                <w:sz w:val="24"/>
                <w:szCs w:val="24"/>
                <w:lang w:val="en-US" w:eastAsia="zh-CN"/>
              </w:rPr>
              <w:t>系</w:t>
            </w:r>
            <w:r>
              <w:rPr>
                <w:rFonts w:hint="eastAsia" w:ascii="宋体" w:hAnsi="宋体" w:eastAsia="宋体" w:cs="宋体"/>
                <w:sz w:val="24"/>
                <w:szCs w:val="24"/>
              </w:rPr>
              <w:t>QQ群，微信圈推介交流，以便教师相互借鉴。</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对照剖析、查摆问题。一直以来，我</w:t>
            </w:r>
            <w:r>
              <w:rPr>
                <w:rFonts w:hint="eastAsia" w:ascii="宋体" w:hAnsi="宋体" w:cs="宋体"/>
                <w:sz w:val="24"/>
                <w:szCs w:val="24"/>
                <w:lang w:val="en-US" w:eastAsia="zh-CN"/>
              </w:rPr>
              <w:t>系</w:t>
            </w:r>
            <w:r>
              <w:rPr>
                <w:rFonts w:hint="eastAsia" w:ascii="宋体" w:hAnsi="宋体" w:eastAsia="宋体" w:cs="宋体"/>
                <w:sz w:val="24"/>
                <w:szCs w:val="24"/>
              </w:rPr>
              <w:t>师德师风建设的立足点就在于增强教职工教书育人、服务育人、管理育人的自觉性。坚持以正面教育为主的原则，相信群众、依靠群众，树立正面典型，充分调动教职工的积极性，并且认真开展批评与自我批评，对不良风气进行坚决的整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2.1.2落实师德考核贯穿于教育教学</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我系在落实师德师风专项会议中要求全体</w:t>
            </w:r>
            <w:r>
              <w:rPr>
                <w:rFonts w:hint="eastAsia" w:ascii="宋体" w:hAnsi="宋体" w:eastAsia="宋体" w:cs="宋体"/>
                <w:sz w:val="24"/>
                <w:szCs w:val="24"/>
                <w:lang w:val="en-US" w:eastAsia="zh-CN"/>
              </w:rPr>
              <w:t>教师积极</w:t>
            </w:r>
            <w:r>
              <w:rPr>
                <w:rFonts w:hint="eastAsia" w:ascii="宋体" w:hAnsi="宋体" w:eastAsia="宋体" w:cs="宋体"/>
                <w:sz w:val="24"/>
                <w:szCs w:val="24"/>
              </w:rPr>
              <w:t>践行社会主义核心价值观，贯彻党的教育方针，以立德树人为己任，遵守教师职业道德规范，立志成为“四有”好老师。</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理解并践行社会主义核心价值观，认同中国特色社会主义</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熟悉党和国家有关基础教育的政策和法规，依法执教；遵守教师职业道德规范，立志成为有理想信念、有道德情操、有扎实学识、有仁爱之心的好老师。</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ascii="仿宋" w:hAnsi="仿宋" w:eastAsia="仿宋"/>
                <w:szCs w:val="21"/>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热爱舞蹈教育事业，具有职业认同感和积极的敬业精神，树立端正的态度和正确的价值观；尊重学生人格，富有爱心、责任心，做学生锤炼品格、学习知识、奉献祖国的引路人。具有正确的人生观和价值观，热爱舞蹈教育事业，具有职业认同感和奉献意识；能够以身作则，富有爱心、责任心，尊重学生人格，关爱学生成长，帮助学生建立正确的道德观和价值观，做学生成长的引路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sz w:val="21"/>
                <w:szCs w:val="21"/>
                <w:lang w:val="en-US" w:eastAsia="zh-CN"/>
              </w:rPr>
            </w:pPr>
            <w:r>
              <w:rPr>
                <w:rFonts w:hint="eastAsia"/>
                <w:sz w:val="21"/>
                <w:szCs w:val="21"/>
                <w:lang w:val="en-US" w:eastAsia="zh-CN"/>
              </w:rPr>
              <w:t>2.1.1.1关于印发《石河子大学教师师德师风考核办法（试行）》</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sz w:val="21"/>
                <w:szCs w:val="21"/>
                <w:lang w:val="en-US" w:eastAsia="zh-CN"/>
              </w:rPr>
            </w:pPr>
            <w:r>
              <w:rPr>
                <w:rFonts w:hint="eastAsia"/>
                <w:sz w:val="21"/>
                <w:szCs w:val="21"/>
                <w:lang w:val="en-US" w:eastAsia="zh-CN"/>
              </w:rPr>
              <w:t>2.1.1.2关于开展师德师风建设月活动的通知</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sz w:val="21"/>
                <w:szCs w:val="21"/>
                <w:lang w:val="en-US" w:eastAsia="zh-CN"/>
              </w:rPr>
            </w:pPr>
            <w:r>
              <w:rPr>
                <w:rFonts w:hint="eastAsia"/>
                <w:sz w:val="21"/>
                <w:szCs w:val="21"/>
                <w:lang w:val="en-US" w:eastAsia="zh-CN"/>
              </w:rPr>
              <w:t>2.1.1.3石河子大学教师师德师风考核表</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sz w:val="21"/>
                <w:szCs w:val="21"/>
                <w:lang w:val="en-US" w:eastAsia="zh-CN"/>
              </w:rPr>
            </w:pPr>
            <w:r>
              <w:rPr>
                <w:rFonts w:hint="eastAsia"/>
                <w:sz w:val="21"/>
                <w:szCs w:val="21"/>
                <w:lang w:val="en-US" w:eastAsia="zh-CN"/>
              </w:rPr>
              <w:t>2.1.1.4关于印发《石河子大学文学艺术学院党委2021年教师师德师风考核方案》的通知</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sz w:val="21"/>
                <w:szCs w:val="21"/>
                <w:lang w:val="en-US" w:eastAsia="zh-CN"/>
              </w:rPr>
            </w:pPr>
            <w:r>
              <w:rPr>
                <w:rFonts w:hint="eastAsia"/>
                <w:sz w:val="21"/>
                <w:szCs w:val="21"/>
                <w:lang w:val="en-US" w:eastAsia="zh-CN"/>
              </w:rPr>
              <w:t>2.1.1.5师德师风专题教育组织情况统计表（闻洪斌、安元忠）</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sz w:val="21"/>
                <w:szCs w:val="21"/>
                <w:lang w:val="en-US" w:eastAsia="zh-CN"/>
              </w:rPr>
            </w:pPr>
            <w:r>
              <w:rPr>
                <w:rFonts w:hint="eastAsia"/>
                <w:sz w:val="21"/>
                <w:szCs w:val="21"/>
                <w:lang w:val="en-US" w:eastAsia="zh-CN"/>
              </w:rPr>
              <w:t>2.1.2.党建活动照片和新闻报道</w:t>
            </w:r>
          </w:p>
          <w:p>
            <w:pPr>
              <w:adjustRightInd w:val="0"/>
              <w:snapToGrid w:val="0"/>
              <w:rPr>
                <w:sz w:val="24"/>
                <w:szCs w:val="24"/>
              </w:rPr>
            </w:pPr>
          </w:p>
          <w:p>
            <w:pPr>
              <w:pStyle w:val="2"/>
              <w:rPr>
                <w:sz w:val="24"/>
                <w:szCs w:val="24"/>
              </w:rPr>
            </w:pPr>
          </w:p>
          <w:p/>
          <w:p>
            <w:pPr>
              <w:pStyle w:val="2"/>
            </w:pPr>
          </w:p>
          <w:p/>
          <w:p>
            <w:pPr>
              <w:pStyle w:val="2"/>
            </w:pPr>
          </w:p>
          <w:p/>
          <w:p>
            <w:pPr>
              <w:pStyle w:val="2"/>
            </w:pPr>
          </w:p>
          <w:p/>
        </w:tc>
      </w:tr>
    </w:tbl>
    <w:p>
      <w: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00"/>
        <w:gridCol w:w="550"/>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00"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32"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00" w:type="dxa"/>
            <w:vMerge w:val="continue"/>
            <w:noWrap w:val="0"/>
            <w:vAlign w:val="center"/>
          </w:tcPr>
          <w:p>
            <w:pPr>
              <w:adjustRightInd w:val="0"/>
              <w:snapToGrid w:val="0"/>
              <w:jc w:val="center"/>
            </w:pPr>
          </w:p>
        </w:tc>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等级</w:t>
            </w:r>
          </w:p>
        </w:tc>
        <w:tc>
          <w:tcPr>
            <w:tcW w:w="6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6" w:type="dxa"/>
            <w:vMerge w:val="restart"/>
            <w:noWrap w:val="0"/>
            <w:vAlign w:val="center"/>
          </w:tcPr>
          <w:p>
            <w:pPr>
              <w:adjustRightInd w:val="0"/>
              <w:snapToGrid w:val="0"/>
              <w:jc w:val="center"/>
              <w:rPr>
                <w:rFonts w:hint="eastAsia" w:eastAsia="宋体"/>
                <w:szCs w:val="21"/>
                <w:lang w:eastAsia="zh-CN"/>
              </w:rPr>
            </w:pPr>
            <w:r>
              <w:rPr>
                <w:szCs w:val="21"/>
              </w:rPr>
              <w:t>2</w:t>
            </w:r>
            <w:r>
              <w:rPr>
                <w:rFonts w:hint="eastAsia"/>
                <w:szCs w:val="21"/>
              </w:rPr>
              <w:t>.</w:t>
            </w:r>
            <w:r>
              <w:rPr>
                <w:rFonts w:hint="eastAsia"/>
                <w:szCs w:val="21"/>
                <w:lang w:val="en-US" w:eastAsia="zh-CN"/>
              </w:rPr>
              <w:t>2</w:t>
            </w:r>
          </w:p>
          <w:p>
            <w:pPr>
              <w:adjustRightInd w:val="0"/>
              <w:snapToGrid w:val="0"/>
              <w:jc w:val="center"/>
              <w:rPr>
                <w:rFonts w:hint="eastAsia"/>
                <w:szCs w:val="21"/>
              </w:rPr>
            </w:pPr>
            <w:r>
              <w:rPr>
                <w:rFonts w:hint="eastAsia"/>
                <w:szCs w:val="21"/>
              </w:rPr>
              <w:t>师资</w:t>
            </w:r>
          </w:p>
          <w:p>
            <w:pPr>
              <w:adjustRightInd w:val="0"/>
              <w:snapToGrid w:val="0"/>
              <w:jc w:val="center"/>
              <w:rPr>
                <w:rFonts w:hint="eastAsia"/>
                <w:szCs w:val="21"/>
              </w:rPr>
            </w:pPr>
            <w:r>
              <w:rPr>
                <w:rFonts w:hint="eastAsia"/>
                <w:szCs w:val="21"/>
              </w:rPr>
              <w:t>结构</w:t>
            </w:r>
          </w:p>
          <w:p>
            <w:pPr>
              <w:adjustRightInd w:val="0"/>
              <w:snapToGrid w:val="0"/>
              <w:jc w:val="center"/>
              <w:rPr>
                <w:rFonts w:hint="eastAsia" w:eastAsia="宋体"/>
                <w:szCs w:val="21"/>
                <w:lang w:eastAsia="zh-CN"/>
              </w:rPr>
            </w:pPr>
            <w:r>
              <w:rPr>
                <w:rFonts w:hint="eastAsia"/>
                <w:szCs w:val="21"/>
                <w:lang w:eastAsia="zh-CN"/>
              </w:rPr>
              <w:t>（</w:t>
            </w:r>
            <w:r>
              <w:rPr>
                <w:rFonts w:hint="eastAsia"/>
                <w:szCs w:val="21"/>
                <w:lang w:val="en-US" w:eastAsia="zh-CN"/>
              </w:rPr>
              <w:t>5分</w:t>
            </w:r>
            <w:r>
              <w:rPr>
                <w:rFonts w:hint="eastAsia"/>
                <w:szCs w:val="21"/>
                <w:lang w:eastAsia="zh-CN"/>
              </w:rPr>
              <w:t>）</w:t>
            </w:r>
          </w:p>
        </w:tc>
        <w:tc>
          <w:tcPr>
            <w:tcW w:w="1559"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p>
            <w:pPr>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专业</w:t>
            </w:r>
            <w:r>
              <w:rPr>
                <w:rFonts w:ascii="Times New Roman" w:hAnsi="Times New Roman" w:eastAsia="宋体" w:cs="Times New Roman"/>
                <w:szCs w:val="21"/>
              </w:rPr>
              <w:t>生</w:t>
            </w:r>
            <w:r>
              <w:rPr>
                <w:rFonts w:hint="eastAsia" w:ascii="Times New Roman" w:hAnsi="Times New Roman" w:eastAsia="宋体" w:cs="Times New Roman"/>
                <w:szCs w:val="21"/>
              </w:rPr>
              <w:t>师比</w:t>
            </w:r>
          </w:p>
          <w:p>
            <w:pPr>
              <w:adjustRightInd w:val="0"/>
              <w:snapToGrid w:val="0"/>
              <w:jc w:val="center"/>
              <w:rPr>
                <w:rFonts w:hint="eastAsia" w:eastAsia="宋体"/>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1分</w:t>
            </w:r>
            <w:r>
              <w:rPr>
                <w:rFonts w:hint="eastAsia" w:ascii="Times New Roman" w:hAnsi="Times New Roman" w:eastAsia="宋体" w:cs="Times New Roman"/>
                <w:szCs w:val="21"/>
                <w:lang w:eastAsia="zh-CN"/>
              </w:rPr>
              <w:t>）</w:t>
            </w:r>
          </w:p>
        </w:tc>
        <w:tc>
          <w:tcPr>
            <w:tcW w:w="5000" w:type="dxa"/>
            <w:noWrap w:val="0"/>
            <w:vAlign w:val="top"/>
          </w:tcPr>
          <w:p>
            <w:pPr>
              <w:keepNext w:val="0"/>
              <w:keepLines w:val="0"/>
              <w:widowControl/>
              <w:suppressLineNumbers w:val="0"/>
              <w:jc w:val="left"/>
              <w:textAlignment w:val="top"/>
              <w:rPr>
                <w:rFonts w:ascii="仿宋" w:hAnsi="仿宋" w:eastAsia="仿宋" w:cs="Times New Roman"/>
                <w:sz w:val="20"/>
                <w:szCs w:val="20"/>
              </w:rPr>
            </w:pPr>
            <w:r>
              <w:rPr>
                <w:rFonts w:hint="eastAsia" w:ascii="仿宋" w:hAnsi="仿宋" w:eastAsia="仿宋" w:cs="仿宋"/>
                <w:i w:val="0"/>
                <w:iCs w:val="0"/>
                <w:color w:val="000000"/>
                <w:kern w:val="0"/>
                <w:sz w:val="20"/>
                <w:szCs w:val="20"/>
                <w:u w:val="none"/>
                <w:lang w:val="en-US" w:eastAsia="zh-CN" w:bidi="ar"/>
              </w:rPr>
              <w:t>专业教师指从事专业课(含专业基础课分）教学工作的专任教师，专业所有在校生/专业专任教师即为专业生师比</w:t>
            </w:r>
          </w:p>
        </w:tc>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A</w:t>
            </w:r>
          </w:p>
        </w:tc>
        <w:tc>
          <w:tcPr>
            <w:tcW w:w="6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专业</w:t>
            </w:r>
            <w:r>
              <w:rPr>
                <w:rFonts w:ascii="Times New Roman" w:hAnsi="Times New Roman" w:eastAsia="宋体" w:cs="Times New Roman"/>
                <w:szCs w:val="21"/>
              </w:rPr>
              <w:t>教师结构</w:t>
            </w:r>
          </w:p>
          <w:p>
            <w:pPr>
              <w:adjustRightInd w:val="0"/>
              <w:snapToGrid w:val="0"/>
              <w:jc w:val="center"/>
              <w:rPr>
                <w:rFonts w:hint="eastAsia" w:eastAsia="宋体"/>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2分</w:t>
            </w:r>
            <w:r>
              <w:rPr>
                <w:rFonts w:hint="eastAsia" w:ascii="Times New Roman" w:hAnsi="Times New Roman" w:eastAsia="宋体" w:cs="Times New Roman"/>
                <w:szCs w:val="21"/>
                <w:lang w:eastAsia="zh-CN"/>
              </w:rPr>
              <w:t>）</w:t>
            </w:r>
          </w:p>
        </w:tc>
        <w:tc>
          <w:tcPr>
            <w:tcW w:w="5000" w:type="dxa"/>
            <w:noWrap w:val="0"/>
            <w:vAlign w:val="top"/>
          </w:tcPr>
          <w:p>
            <w:pPr>
              <w:keepNext w:val="0"/>
              <w:keepLines w:val="0"/>
              <w:widowControl/>
              <w:suppressLineNumbers w:val="0"/>
              <w:jc w:val="left"/>
              <w:textAlignment w:val="top"/>
              <w:rPr>
                <w:rFonts w:ascii="仿宋" w:hAnsi="仿宋" w:eastAsia="仿宋" w:cs="Times New Roman"/>
                <w:sz w:val="20"/>
                <w:szCs w:val="20"/>
              </w:rPr>
            </w:pPr>
            <w:r>
              <w:rPr>
                <w:rFonts w:hint="eastAsia" w:ascii="仿宋" w:hAnsi="仿宋" w:eastAsia="仿宋" w:cs="仿宋"/>
                <w:i w:val="0"/>
                <w:iCs w:val="0"/>
                <w:color w:val="000000"/>
                <w:kern w:val="0"/>
                <w:sz w:val="20"/>
                <w:szCs w:val="20"/>
                <w:u w:val="none"/>
                <w:lang w:val="en-US" w:eastAsia="zh-CN" w:bidi="ar"/>
              </w:rPr>
              <w:t>专业有完善的专业负责人制度，专业负责人具有高级职称；专业教师师德师风风貌优良，年龄结构合理；45岁以下专任教师中具有博士学位的比例在50%以上；专业教师本、硕、博学位中至少一个学位与本专业相关或在本专业相关行业领域具有从业5年以上经历的老师比例不少于75%；主讲教师高级职称比例不低于40%；有一定比例的企业行业兼职教师</w:t>
            </w:r>
          </w:p>
        </w:tc>
        <w:tc>
          <w:tcPr>
            <w:tcW w:w="550" w:type="dxa"/>
            <w:noWrap w:val="0"/>
            <w:vAlign w:val="center"/>
          </w:tcPr>
          <w:p>
            <w:pPr>
              <w:adjustRightInd w:val="0"/>
              <w:snapToGrid w:val="0"/>
              <w:jc w:val="center"/>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B</w:t>
            </w:r>
          </w:p>
        </w:tc>
        <w:tc>
          <w:tcPr>
            <w:tcW w:w="682" w:type="dxa"/>
            <w:noWrap w:val="0"/>
            <w:vAlign w:val="center"/>
          </w:tcPr>
          <w:p>
            <w:pPr>
              <w:adjustRightInd w:val="0"/>
              <w:snapToGrid w:val="0"/>
              <w:jc w:val="center"/>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rPr>
            </w:pPr>
            <w:r>
              <w:rPr>
                <w:szCs w:val="21"/>
              </w:rPr>
              <w:t>2</w:t>
            </w:r>
            <w:r>
              <w:rPr>
                <w:rFonts w:hint="eastAsia"/>
                <w:szCs w:val="21"/>
              </w:rPr>
              <w:t>.</w:t>
            </w:r>
            <w:r>
              <w:rPr>
                <w:rFonts w:hint="eastAsia"/>
                <w:szCs w:val="21"/>
                <w:lang w:val="en-US" w:eastAsia="zh-CN"/>
              </w:rPr>
              <w:t>2</w:t>
            </w:r>
            <w:r>
              <w:rPr>
                <w:rFonts w:hint="eastAsia"/>
                <w:szCs w:val="21"/>
              </w:rPr>
              <w:t>.3</w:t>
            </w:r>
          </w:p>
          <w:p>
            <w:pPr>
              <w:adjustRightInd w:val="0"/>
              <w:snapToGrid w:val="0"/>
              <w:jc w:val="center"/>
              <w:rPr>
                <w:szCs w:val="21"/>
              </w:rPr>
            </w:pPr>
            <w:r>
              <w:rPr>
                <w:rFonts w:hint="eastAsia"/>
                <w:szCs w:val="21"/>
              </w:rPr>
              <w:t>具有</w:t>
            </w:r>
            <w:r>
              <w:rPr>
                <w:szCs w:val="21"/>
              </w:rPr>
              <w:t>行业背景教师</w:t>
            </w:r>
          </w:p>
          <w:p>
            <w:pPr>
              <w:adjustRightInd w:val="0"/>
              <w:snapToGrid w:val="0"/>
              <w:jc w:val="center"/>
              <w:rPr>
                <w:rFonts w:hint="eastAsia" w:eastAsia="宋体"/>
                <w:szCs w:val="21"/>
                <w:lang w:eastAsia="zh-CN"/>
              </w:rPr>
            </w:pPr>
            <w:r>
              <w:rPr>
                <w:rFonts w:hint="eastAsia"/>
                <w:szCs w:val="21"/>
                <w:lang w:eastAsia="zh-CN"/>
              </w:rPr>
              <w:t>（</w:t>
            </w:r>
            <w:r>
              <w:rPr>
                <w:rFonts w:hint="eastAsia"/>
                <w:szCs w:val="21"/>
                <w:lang w:val="en-US" w:eastAsia="zh-CN"/>
              </w:rPr>
              <w:t>2分</w:t>
            </w:r>
            <w:r>
              <w:rPr>
                <w:rFonts w:hint="eastAsia"/>
                <w:szCs w:val="21"/>
                <w:lang w:eastAsia="zh-CN"/>
              </w:rPr>
              <w:t>）</w:t>
            </w:r>
          </w:p>
        </w:tc>
        <w:tc>
          <w:tcPr>
            <w:tcW w:w="5000" w:type="dxa"/>
            <w:noWrap w:val="0"/>
            <w:vAlign w:val="top"/>
          </w:tcPr>
          <w:p>
            <w:pPr>
              <w:keepNext w:val="0"/>
              <w:keepLines w:val="0"/>
              <w:widowControl/>
              <w:suppressLineNumbers w:val="0"/>
              <w:jc w:val="left"/>
              <w:textAlignment w:val="top"/>
              <w:rPr>
                <w:rFonts w:ascii="仿宋" w:hAnsi="仿宋" w:eastAsia="仿宋" w:cs="Times New Roman"/>
                <w:sz w:val="20"/>
                <w:szCs w:val="20"/>
              </w:rPr>
            </w:pPr>
            <w:r>
              <w:rPr>
                <w:rFonts w:hint="eastAsia" w:ascii="仿宋" w:hAnsi="仿宋" w:eastAsia="仿宋" w:cs="仿宋"/>
                <w:i w:val="0"/>
                <w:iCs w:val="0"/>
                <w:color w:val="000000"/>
                <w:kern w:val="0"/>
                <w:sz w:val="20"/>
                <w:szCs w:val="20"/>
                <w:u w:val="none"/>
                <w:lang w:val="en-US" w:eastAsia="zh-CN" w:bidi="ar"/>
              </w:rPr>
              <w:t>专业教师具有半年以上企业或行业实践经历、参与企业技术开发合作或取得相关专业职业资格证书或参与与专业相关的社会服务的比例不低于30%</w:t>
            </w:r>
          </w:p>
        </w:tc>
        <w:tc>
          <w:tcPr>
            <w:tcW w:w="550" w:type="dxa"/>
            <w:noWrap w:val="0"/>
            <w:vAlign w:val="center"/>
          </w:tcPr>
          <w:p>
            <w:pPr>
              <w:adjustRightInd w:val="0"/>
              <w:snapToGrid w:val="0"/>
              <w:jc w:val="center"/>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A</w:t>
            </w:r>
          </w:p>
        </w:tc>
        <w:tc>
          <w:tcPr>
            <w:tcW w:w="682" w:type="dxa"/>
            <w:noWrap w:val="0"/>
            <w:vAlign w:val="center"/>
          </w:tcPr>
          <w:p>
            <w:pPr>
              <w:adjustRightInd w:val="0"/>
              <w:snapToGrid w:val="0"/>
              <w:jc w:val="center"/>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1276" w:type="dxa"/>
            <w:noWrap w:val="0"/>
            <w:vAlign w:val="center"/>
          </w:tcPr>
          <w:p>
            <w:pPr>
              <w:adjustRightInd w:val="0"/>
              <w:snapToGrid w:val="0"/>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自评分析及说明</w:t>
            </w:r>
          </w:p>
        </w:tc>
        <w:tc>
          <w:tcPr>
            <w:tcW w:w="779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2.2.1专业生师比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石河子大学舞蹈教育专业，于2023年开始招生，招生名额为25人。目前生师比为4：1，符合国家标准。随</w:t>
            </w:r>
            <w:r>
              <w:rPr>
                <w:rFonts w:hint="eastAsia" w:ascii="宋体" w:hAnsi="宋体" w:cs="宋体"/>
                <w:b w:val="0"/>
                <w:bCs w:val="0"/>
                <w:color w:val="000000"/>
                <w:kern w:val="2"/>
                <w:sz w:val="24"/>
                <w:szCs w:val="24"/>
                <w:lang w:val="en-US" w:eastAsia="zh-CN" w:bidi="ar-SA"/>
              </w:rPr>
              <w:t>着</w:t>
            </w:r>
            <w:r>
              <w:rPr>
                <w:rFonts w:hint="eastAsia" w:ascii="宋体" w:hAnsi="宋体" w:eastAsia="宋体" w:cs="宋体"/>
                <w:b w:val="0"/>
                <w:bCs w:val="0"/>
                <w:color w:val="000000"/>
                <w:kern w:val="2"/>
                <w:sz w:val="24"/>
                <w:szCs w:val="24"/>
                <w:lang w:val="en-US" w:eastAsia="zh-CN" w:bidi="ar-SA"/>
              </w:rPr>
              <w:t>专业</w:t>
            </w:r>
            <w:r>
              <w:rPr>
                <w:rFonts w:hint="eastAsia" w:ascii="宋体" w:hAnsi="宋体" w:cs="宋体"/>
                <w:b w:val="0"/>
                <w:bCs w:val="0"/>
                <w:color w:val="000000"/>
                <w:kern w:val="2"/>
                <w:sz w:val="24"/>
                <w:szCs w:val="24"/>
                <w:lang w:val="en-US" w:eastAsia="zh-CN" w:bidi="ar-SA"/>
              </w:rPr>
              <w:t>的持续</w:t>
            </w:r>
            <w:r>
              <w:rPr>
                <w:rFonts w:hint="eastAsia" w:ascii="宋体" w:hAnsi="宋体" w:eastAsia="宋体" w:cs="宋体"/>
                <w:b w:val="0"/>
                <w:bCs w:val="0"/>
                <w:color w:val="000000"/>
                <w:kern w:val="2"/>
                <w:sz w:val="24"/>
                <w:szCs w:val="24"/>
                <w:lang w:val="en-US" w:eastAsia="zh-CN" w:bidi="ar-SA"/>
              </w:rPr>
              <w:t>发展，教师队伍还会继续扩充。</w:t>
            </w:r>
          </w:p>
          <w:tbl>
            <w:tblPr>
              <w:tblStyle w:val="9"/>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2525"/>
              <w:gridCol w:w="2525"/>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2023年在校学生总数</w:t>
                  </w:r>
                </w:p>
              </w:tc>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36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专任教师数</w:t>
                  </w:r>
                </w:p>
              </w:tc>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36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生师比</w:t>
                  </w:r>
                </w:p>
              </w:tc>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36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25</w:t>
                  </w:r>
                </w:p>
              </w:tc>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360" w:lineRule="auto"/>
                    <w:jc w:val="center"/>
                    <w:textAlignment w:val="auto"/>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vertAlign w:val="baseline"/>
                      <w:lang w:val="en-US" w:eastAsia="zh-CN"/>
                    </w:rPr>
                    <w:t>6</w:t>
                  </w:r>
                </w:p>
              </w:tc>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360" w:lineRule="auto"/>
                    <w:jc w:val="center"/>
                    <w:textAlignment w:val="auto"/>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vertAlign w:val="baseline"/>
                      <w:lang w:val="en-US" w:eastAsia="zh-CN"/>
                    </w:rPr>
                    <w:t>4:1</w:t>
                  </w:r>
                </w:p>
              </w:tc>
              <w:tc>
                <w:tcPr>
                  <w:tcW w:w="2525" w:type="dxa"/>
                  <w:noWrap w:val="0"/>
                  <w:vAlign w:val="top"/>
                </w:tcPr>
                <w:p>
                  <w:pPr>
                    <w:keepNext w:val="0"/>
                    <w:keepLines w:val="0"/>
                    <w:pageBreakBefore w:val="0"/>
                    <w:widowControl w:val="0"/>
                    <w:kinsoku/>
                    <w:wordWrap/>
                    <w:overflowPunct/>
                    <w:topLinePunct w:val="0"/>
                    <w:autoSpaceDE/>
                    <w:autoSpaceDN/>
                    <w:bidi w:val="0"/>
                    <w:adjustRightInd w:val="0"/>
                    <w:snapToGrid w:val="0"/>
                    <w:spacing w:before="162" w:beforeLines="50" w:line="36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2.2.2专业教师结构</w:t>
            </w:r>
          </w:p>
          <w:p>
            <w:pPr>
              <w:pStyle w:val="2"/>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本专业现有专任教师6人，专业教师师德师风风貌优秀，具有舞蹈表演、舞蹈创作、民族民间舞、舞蹈教育理论、舞蹈史学以及基础艺术学理论等专业背景。师资队伍中具有高级职称教师1人，中级职称教师4人，1人未定等级。年龄均为50岁以下，具有硕士学位以上教师4人。在</w:t>
            </w:r>
            <w:r>
              <w:rPr>
                <w:rFonts w:hint="eastAsia" w:ascii="宋体" w:hAnsi="宋体" w:eastAsia="宋体" w:cs="宋体"/>
                <w:b w:val="0"/>
                <w:bCs w:val="0"/>
                <w:i w:val="0"/>
                <w:iCs w:val="0"/>
                <w:color w:val="000000"/>
                <w:kern w:val="0"/>
                <w:sz w:val="24"/>
                <w:szCs w:val="24"/>
                <w:u w:val="none"/>
                <w:lang w:val="en-US" w:eastAsia="zh-CN" w:bidi="ar"/>
              </w:rPr>
              <w:t>本专业相关行业领域具有从业5年以上经历的老师比例为83%</w:t>
            </w:r>
            <w:r>
              <w:rPr>
                <w:rFonts w:hint="eastAsia" w:ascii="宋体" w:hAnsi="宋体" w:eastAsia="宋体" w:cs="宋体"/>
                <w:b w:val="0"/>
                <w:bCs w:val="0"/>
                <w:color w:val="000000"/>
                <w:kern w:val="2"/>
                <w:sz w:val="24"/>
                <w:szCs w:val="24"/>
                <w:lang w:val="en-US" w:eastAsia="zh-CN" w:bidi="ar-SA"/>
              </w:rPr>
              <w:t>。总体上，本专业教师队伍知识结构、年龄结构和职称结构合理，能够承担舞蹈教育学科专业基础课程和专业核心课程的教学工作。</w:t>
            </w:r>
          </w:p>
          <w:p>
            <w:pPr>
              <w:pStyle w:val="2"/>
              <w:pageBreakBefore w:val="0"/>
              <w:widowControl w:val="0"/>
              <w:kinsoku/>
              <w:wordWrap/>
              <w:overflowPunct/>
              <w:topLinePunct w:val="0"/>
              <w:autoSpaceDE/>
              <w:autoSpaceDN/>
              <w:bidi w:val="0"/>
              <w:spacing w:line="360" w:lineRule="auto"/>
              <w:textAlignment w:val="auto"/>
              <w:rPr>
                <w:rFonts w:hint="eastAsia" w:cs="宋体"/>
                <w:b w:val="0"/>
                <w:bCs w:val="0"/>
                <w:color w:val="000000"/>
                <w:kern w:val="2"/>
                <w:sz w:val="24"/>
                <w:szCs w:val="24"/>
                <w:lang w:val="en-US" w:eastAsia="zh-CN" w:bidi="ar-SA"/>
              </w:rPr>
            </w:pPr>
            <w:r>
              <w:rPr>
                <w:rFonts w:hint="eastAsia" w:cs="宋体"/>
                <w:b w:val="0"/>
                <w:bCs w:val="0"/>
                <w:color w:val="000000"/>
                <w:kern w:val="2"/>
                <w:sz w:val="24"/>
                <w:szCs w:val="24"/>
                <w:lang w:val="en-US" w:eastAsia="zh-CN" w:bidi="ar-SA"/>
              </w:rPr>
              <w:t>存在的不足：目前本专业教师硕士及以上学历占比67%，高级职称教师占比17%。距离国家标准还有一些距离，计划在今后的三年内将教师硕士及以上学历占比提升至85%，高级职称教师占比提升至50%。</w:t>
            </w:r>
          </w:p>
          <w:p>
            <w:pPr>
              <w:pStyle w:val="2"/>
              <w:pageBreakBefore w:val="0"/>
              <w:widowControl w:val="0"/>
              <w:kinsoku/>
              <w:wordWrap/>
              <w:overflowPunct/>
              <w:topLinePunct w:val="0"/>
              <w:autoSpaceDE/>
              <w:autoSpaceDN/>
              <w:bidi w:val="0"/>
              <w:spacing w:line="360" w:lineRule="auto"/>
              <w:ind w:left="0" w:leftChars="0" w:firstLine="0" w:firstLineChars="0"/>
              <w:jc w:val="center"/>
              <w:textAlignment w:val="auto"/>
              <w:rPr>
                <w:rFonts w:hint="default"/>
                <w:lang w:val="en-US" w:eastAsia="zh-CN"/>
              </w:rPr>
            </w:pPr>
            <w:r>
              <w:rPr>
                <w:rFonts w:hint="eastAsia" w:cs="宋体"/>
                <w:b w:val="0"/>
                <w:bCs w:val="0"/>
                <w:color w:val="000000"/>
                <w:kern w:val="2"/>
                <w:sz w:val="24"/>
                <w:szCs w:val="24"/>
                <w:lang w:val="en-US" w:eastAsia="zh-CN" w:bidi="ar-SA"/>
              </w:rPr>
              <w:t>教师队伍年龄结构图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669"/>
              <w:gridCol w:w="812"/>
              <w:gridCol w:w="700"/>
              <w:gridCol w:w="738"/>
              <w:gridCol w:w="862"/>
              <w:gridCol w:w="1013"/>
              <w:gridCol w:w="862"/>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restart"/>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教师总数</w:t>
                  </w:r>
                </w:p>
              </w:tc>
              <w:tc>
                <w:tcPr>
                  <w:tcW w:w="1481" w:type="dxa"/>
                  <w:gridSpan w:val="2"/>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35岁以下</w:t>
                  </w:r>
                </w:p>
              </w:tc>
              <w:tc>
                <w:tcPr>
                  <w:tcW w:w="1438" w:type="dxa"/>
                  <w:gridSpan w:val="2"/>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36-45岁</w:t>
                  </w:r>
                </w:p>
              </w:tc>
              <w:tc>
                <w:tcPr>
                  <w:tcW w:w="1875" w:type="dxa"/>
                  <w:gridSpan w:val="2"/>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46-55岁</w:t>
                  </w:r>
                </w:p>
              </w:tc>
              <w:tc>
                <w:tcPr>
                  <w:tcW w:w="1675" w:type="dxa"/>
                  <w:gridSpan w:val="2"/>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55岁以上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669"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81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700"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738"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86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1013"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86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813"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15</w:t>
                  </w:r>
                </w:p>
              </w:tc>
              <w:tc>
                <w:tcPr>
                  <w:tcW w:w="669"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81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700"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w:t>
                  </w:r>
                </w:p>
              </w:tc>
              <w:tc>
                <w:tcPr>
                  <w:tcW w:w="738"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67%</w:t>
                  </w:r>
                </w:p>
              </w:tc>
              <w:tc>
                <w:tcPr>
                  <w:tcW w:w="86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1013"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w:t>
                  </w:r>
                </w:p>
              </w:tc>
              <w:tc>
                <w:tcPr>
                  <w:tcW w:w="86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813"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r>
          </w:tbl>
          <w:p>
            <w:pPr>
              <w:pStyle w:val="2"/>
              <w:pageBreakBefore w:val="0"/>
              <w:widowControl w:val="0"/>
              <w:kinsoku/>
              <w:wordWrap/>
              <w:overflowPunct/>
              <w:topLinePunct w:val="0"/>
              <w:autoSpaceDE/>
              <w:autoSpaceDN/>
              <w:bidi w:val="0"/>
              <w:spacing w:line="360" w:lineRule="auto"/>
              <w:ind w:left="0" w:leftChars="0" w:firstLine="0" w:firstLineChars="0"/>
              <w:jc w:val="center"/>
              <w:textAlignment w:val="auto"/>
              <w:rPr>
                <w:rFonts w:hint="default"/>
                <w:b w:val="0"/>
                <w:bCs w:val="0"/>
                <w:sz w:val="24"/>
                <w:szCs w:val="24"/>
                <w:lang w:val="en-US" w:eastAsia="zh-CN"/>
              </w:rPr>
            </w:pPr>
            <w:r>
              <w:rPr>
                <w:rFonts w:hint="eastAsia"/>
                <w:b w:val="0"/>
                <w:bCs w:val="0"/>
                <w:sz w:val="24"/>
                <w:szCs w:val="24"/>
                <w:lang w:val="en-US" w:eastAsia="zh-CN"/>
              </w:rPr>
              <w:t>教师职称、学历结构图</w:t>
            </w:r>
          </w:p>
          <w:tbl>
            <w:tblPr>
              <w:tblStyle w:val="9"/>
              <w:tblW w:w="7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37"/>
              <w:gridCol w:w="837"/>
              <w:gridCol w:w="837"/>
              <w:gridCol w:w="839"/>
              <w:gridCol w:w="838"/>
              <w:gridCol w:w="838"/>
              <w:gridCol w:w="838"/>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6" w:type="dxa"/>
                  <w:vMerge w:val="restart"/>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教师总数</w:t>
                  </w:r>
                </w:p>
              </w:tc>
              <w:tc>
                <w:tcPr>
                  <w:tcW w:w="3350" w:type="dxa"/>
                  <w:gridSpan w:val="4"/>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研究生</w:t>
                  </w:r>
                </w:p>
              </w:tc>
              <w:tc>
                <w:tcPr>
                  <w:tcW w:w="1676" w:type="dxa"/>
                  <w:gridSpan w:val="2"/>
                  <w:vMerge w:val="restart"/>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本科</w:t>
                  </w:r>
                </w:p>
              </w:tc>
              <w:tc>
                <w:tcPr>
                  <w:tcW w:w="1676" w:type="dxa"/>
                  <w:gridSpan w:val="2"/>
                  <w:vMerge w:val="restart"/>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6" w:type="dxa"/>
                  <w:vMerge w:val="continue"/>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sz w:val="24"/>
                      <w:szCs w:val="24"/>
                    </w:rPr>
                  </w:pPr>
                </w:p>
              </w:tc>
              <w:tc>
                <w:tcPr>
                  <w:tcW w:w="1674" w:type="dxa"/>
                  <w:gridSpan w:val="2"/>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博士</w:t>
                  </w:r>
                </w:p>
              </w:tc>
              <w:tc>
                <w:tcPr>
                  <w:tcW w:w="1676" w:type="dxa"/>
                  <w:gridSpan w:val="2"/>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硕士</w:t>
                  </w:r>
                </w:p>
              </w:tc>
              <w:tc>
                <w:tcPr>
                  <w:tcW w:w="1676" w:type="dxa"/>
                  <w:gridSpan w:val="2"/>
                  <w:vMerge w:val="continue"/>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1676" w:type="dxa"/>
                  <w:gridSpan w:val="2"/>
                  <w:vMerge w:val="continue"/>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6" w:type="dxa"/>
                  <w:vMerge w:val="continue"/>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837"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837"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837"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839"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838"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838"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比例</w:t>
                  </w:r>
                </w:p>
              </w:tc>
              <w:tc>
                <w:tcPr>
                  <w:tcW w:w="838"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人数</w:t>
                  </w:r>
                </w:p>
              </w:tc>
              <w:tc>
                <w:tcPr>
                  <w:tcW w:w="838"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6"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837"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0</w:t>
                  </w:r>
                </w:p>
              </w:tc>
              <w:tc>
                <w:tcPr>
                  <w:tcW w:w="837"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0</w:t>
                  </w:r>
                </w:p>
              </w:tc>
              <w:tc>
                <w:tcPr>
                  <w:tcW w:w="837"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839"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67%</w:t>
                  </w:r>
                </w:p>
              </w:tc>
              <w:tc>
                <w:tcPr>
                  <w:tcW w:w="838"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838"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33%</w:t>
                  </w:r>
                </w:p>
              </w:tc>
              <w:tc>
                <w:tcPr>
                  <w:tcW w:w="838"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838"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17%</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2.2.3具有行业背景教师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教师队伍中5人已经取得相关专业的高校教师资格证，1人为新进教师。其中2人为兵团舞蹈家协会理事、石河子舞蹈家协会副主席；1人为兵团舞蹈家协会会员；1人为兵团文艺评论家协会会员，兵团音乐家协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keepNext w:val="0"/>
              <w:keepLines w:val="0"/>
              <w:pageBreakBefore w:val="0"/>
              <w:widowControl w:val="0"/>
              <w:kinsoku/>
              <w:wordWrap/>
              <w:overflowPunct/>
              <w:topLinePunct w:val="0"/>
              <w:autoSpaceDE/>
              <w:autoSpaceDN/>
              <w:bidi w:val="0"/>
              <w:spacing w:line="360" w:lineRule="auto"/>
              <w:textAlignment w:val="auto"/>
              <w:rPr>
                <w:rFonts w:hint="eastAsia"/>
              </w:rPr>
            </w:pPr>
          </w:p>
          <w:p>
            <w:pPr>
              <w:pStyle w:val="2"/>
              <w:pageBreakBefore w:val="0"/>
              <w:widowControl w:val="0"/>
              <w:kinsoku/>
              <w:wordWrap/>
              <w:overflowPunct/>
              <w:topLinePunct w:val="0"/>
              <w:autoSpaceDE/>
              <w:autoSpaceDN/>
              <w:bidi w:val="0"/>
              <w:spacing w:line="360" w:lineRule="auto"/>
              <w:textAlignment w:val="auto"/>
              <w:rPr>
                <w:rFonts w:hint="eastAsia"/>
              </w:rPr>
            </w:pPr>
          </w:p>
          <w:p>
            <w:pPr>
              <w:pageBreakBefore w:val="0"/>
              <w:widowControl w:val="0"/>
              <w:kinsoku/>
              <w:wordWrap/>
              <w:overflowPunct/>
              <w:topLinePunct w:val="0"/>
              <w:autoSpaceDE/>
              <w:autoSpaceDN/>
              <w:bidi w:val="0"/>
              <w:spacing w:line="360" w:lineRule="auto"/>
              <w:textAlignment w:val="auto"/>
              <w:rPr>
                <w:rFonts w:hint="eastAsia"/>
              </w:rPr>
            </w:pPr>
          </w:p>
          <w:p>
            <w:pPr>
              <w:pStyle w:val="2"/>
              <w:pageBreakBefore w:val="0"/>
              <w:widowControl w:val="0"/>
              <w:kinsoku/>
              <w:wordWrap/>
              <w:overflowPunct/>
              <w:topLinePunct w:val="0"/>
              <w:autoSpaceDE/>
              <w:autoSpaceDN/>
              <w:bidi w:val="0"/>
              <w:spacing w:line="360" w:lineRule="auto"/>
              <w:ind w:left="0" w:leftChars="0" w:firstLine="0" w:firstLineChars="0"/>
              <w:textAlignment w:val="auto"/>
              <w:rPr>
                <w:rFonts w:hint="eastAsia"/>
              </w:rPr>
            </w:pPr>
          </w:p>
          <w:p>
            <w:pPr>
              <w:pageBreakBefore w:val="0"/>
              <w:widowControl w:val="0"/>
              <w:kinsoku/>
              <w:wordWrap/>
              <w:overflowPunct/>
              <w:topLinePunct w:val="0"/>
              <w:autoSpaceDE/>
              <w:autoSpaceDN/>
              <w:bidi w:val="0"/>
              <w:spacing w:line="360" w:lineRule="auto"/>
              <w:textAlignment w:val="auto"/>
              <w:rPr>
                <w:rFonts w:hint="eastAsia"/>
              </w:rPr>
            </w:pPr>
          </w:p>
          <w:p>
            <w:pPr>
              <w:pStyle w:val="2"/>
              <w:pageBreakBefore w:val="0"/>
              <w:widowControl w:val="0"/>
              <w:kinsoku/>
              <w:wordWrap/>
              <w:overflowPunct/>
              <w:topLinePunct w:val="0"/>
              <w:autoSpaceDE/>
              <w:autoSpaceDN/>
              <w:bidi w:val="0"/>
              <w:spacing w:line="360" w:lineRule="auto"/>
              <w:textAlignment w:val="auto"/>
              <w:rPr>
                <w:rFonts w:hint="eastAsia"/>
              </w:rPr>
            </w:pPr>
          </w:p>
          <w:p>
            <w:pPr>
              <w:pageBreakBefore w:val="0"/>
              <w:widowControl w:val="0"/>
              <w:kinsoku/>
              <w:wordWrap/>
              <w:overflowPunct/>
              <w:topLinePunct w:val="0"/>
              <w:autoSpaceDE/>
              <w:autoSpaceDN/>
              <w:bidi w:val="0"/>
              <w:spacing w:line="360" w:lineRule="auto"/>
              <w:textAlignment w:val="auto"/>
              <w:rPr>
                <w:rFonts w:hint="eastAsia"/>
              </w:rPr>
            </w:pPr>
          </w:p>
          <w:p>
            <w:pPr>
              <w:pStyle w:val="2"/>
              <w:pageBreakBefore w:val="0"/>
              <w:widowControl w:val="0"/>
              <w:kinsoku/>
              <w:wordWrap/>
              <w:overflowPunct/>
              <w:topLinePunct w:val="0"/>
              <w:autoSpaceDE/>
              <w:autoSpaceDN/>
              <w:bidi w:val="0"/>
              <w:spacing w:line="360" w:lineRule="auto"/>
              <w:ind w:left="0" w:leftChars="0" w:firstLine="0" w:firstLineChars="0"/>
              <w:textAlignment w:val="auto"/>
              <w:rPr>
                <w:rFonts w:hint="eastAsia"/>
              </w:rPr>
            </w:pPr>
          </w:p>
        </w:tc>
      </w:tr>
    </w:tbl>
    <w:p>
      <w: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75"/>
        <w:gridCol w:w="500"/>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widowControl/>
              <w:jc w:val="center"/>
              <w:rPr>
                <w:b/>
                <w:szCs w:val="21"/>
              </w:rPr>
            </w:pPr>
            <w:r>
              <w:br w:type="page"/>
            </w: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75"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157"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75" w:type="dxa"/>
            <w:vMerge w:val="continue"/>
            <w:noWrap w:val="0"/>
            <w:vAlign w:val="center"/>
          </w:tcPr>
          <w:p>
            <w:pPr>
              <w:adjustRightInd w:val="0"/>
              <w:snapToGrid w:val="0"/>
              <w:jc w:val="center"/>
            </w:pPr>
          </w:p>
        </w:tc>
        <w:tc>
          <w:tcPr>
            <w:tcW w:w="500" w:type="dxa"/>
            <w:noWrap w:val="0"/>
            <w:vAlign w:val="center"/>
          </w:tcPr>
          <w:p>
            <w:pPr>
              <w:adjustRightInd w:val="0"/>
              <w:snapToGrid w:val="0"/>
              <w:jc w:val="center"/>
              <w:rPr>
                <w:rFonts w:hint="eastAsia" w:eastAsia="宋体"/>
                <w:b/>
                <w:bCs/>
                <w:lang w:val="en-US" w:eastAsia="zh-CN"/>
              </w:rPr>
            </w:pPr>
            <w:r>
              <w:rPr>
                <w:rFonts w:hint="eastAsia"/>
                <w:b/>
                <w:bCs/>
                <w:lang w:val="en-US" w:eastAsia="zh-CN"/>
              </w:rPr>
              <w:t>等级</w:t>
            </w:r>
          </w:p>
        </w:tc>
        <w:tc>
          <w:tcPr>
            <w:tcW w:w="657" w:type="dxa"/>
            <w:noWrap w:val="0"/>
            <w:vAlign w:val="center"/>
          </w:tcPr>
          <w:p>
            <w:pPr>
              <w:adjustRightInd w:val="0"/>
              <w:snapToGrid w:val="0"/>
              <w:jc w:val="center"/>
              <w:rPr>
                <w:rFonts w:hint="default" w:eastAsia="宋体"/>
                <w:b/>
                <w:bCs/>
                <w:lang w:val="en-US" w:eastAsia="zh-CN"/>
              </w:rPr>
            </w:pPr>
            <w:r>
              <w:rPr>
                <w:rFonts w:hint="eastAsia"/>
                <w:b/>
                <w:bCs/>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vMerge w:val="restart"/>
            <w:noWrap w:val="0"/>
            <w:vAlign w:val="center"/>
          </w:tcPr>
          <w:p>
            <w:pPr>
              <w:adjustRightInd w:val="0"/>
              <w:snapToGrid w:val="0"/>
              <w:jc w:val="center"/>
              <w:rPr>
                <w:rFonts w:hint="eastAsia"/>
                <w:szCs w:val="21"/>
              </w:rPr>
            </w:pPr>
            <w:r>
              <w:rPr>
                <w:rFonts w:hint="eastAsia"/>
                <w:szCs w:val="21"/>
              </w:rPr>
              <w:t>2.3</w:t>
            </w:r>
          </w:p>
          <w:p>
            <w:pPr>
              <w:adjustRightInd w:val="0"/>
              <w:snapToGrid w:val="0"/>
              <w:jc w:val="center"/>
              <w:rPr>
                <w:rFonts w:hint="eastAsia"/>
                <w:szCs w:val="21"/>
              </w:rPr>
            </w:pPr>
            <w:r>
              <w:rPr>
                <w:rFonts w:hint="eastAsia"/>
                <w:szCs w:val="21"/>
              </w:rPr>
              <w:t>教师</w:t>
            </w:r>
          </w:p>
          <w:p>
            <w:pPr>
              <w:adjustRightInd w:val="0"/>
              <w:snapToGrid w:val="0"/>
              <w:jc w:val="center"/>
              <w:rPr>
                <w:rFonts w:hint="eastAsia"/>
                <w:szCs w:val="21"/>
              </w:rPr>
            </w:pPr>
            <w:r>
              <w:rPr>
                <w:rFonts w:hint="eastAsia"/>
                <w:szCs w:val="21"/>
              </w:rPr>
              <w:t>教学</w:t>
            </w:r>
          </w:p>
          <w:p>
            <w:pPr>
              <w:adjustRightInd w:val="0"/>
              <w:snapToGrid w:val="0"/>
              <w:jc w:val="center"/>
              <w:rPr>
                <w:rFonts w:hint="eastAsia"/>
                <w:szCs w:val="21"/>
              </w:rPr>
            </w:pPr>
            <w:r>
              <w:rPr>
                <w:rFonts w:hint="eastAsia"/>
                <w:szCs w:val="21"/>
              </w:rPr>
              <w:t>和科</w:t>
            </w:r>
          </w:p>
          <w:p>
            <w:pPr>
              <w:adjustRightInd w:val="0"/>
              <w:snapToGrid w:val="0"/>
              <w:jc w:val="center"/>
              <w:rPr>
                <w:rFonts w:hint="eastAsia"/>
                <w:szCs w:val="21"/>
              </w:rPr>
            </w:pPr>
            <w:r>
              <w:rPr>
                <w:rFonts w:hint="eastAsia"/>
                <w:szCs w:val="21"/>
              </w:rPr>
              <w:t>研创</w:t>
            </w:r>
          </w:p>
          <w:p>
            <w:pPr>
              <w:adjustRightInd w:val="0"/>
              <w:snapToGrid w:val="0"/>
              <w:jc w:val="center"/>
              <w:rPr>
                <w:rFonts w:hint="eastAsia"/>
                <w:szCs w:val="21"/>
              </w:rPr>
            </w:pPr>
            <w:r>
              <w:rPr>
                <w:rFonts w:hint="eastAsia"/>
                <w:szCs w:val="21"/>
              </w:rPr>
              <w:t>作水</w:t>
            </w:r>
          </w:p>
          <w:p>
            <w:pPr>
              <w:adjustRightInd w:val="0"/>
              <w:snapToGrid w:val="0"/>
              <w:jc w:val="center"/>
              <w:rPr>
                <w:rFonts w:hint="eastAsia"/>
                <w:szCs w:val="21"/>
              </w:rPr>
            </w:pPr>
            <w:r>
              <w:rPr>
                <w:rFonts w:hint="eastAsia"/>
                <w:szCs w:val="21"/>
              </w:rPr>
              <w:t>平与</w:t>
            </w:r>
          </w:p>
          <w:p>
            <w:pPr>
              <w:adjustRightInd w:val="0"/>
              <w:snapToGrid w:val="0"/>
              <w:jc w:val="center"/>
              <w:rPr>
                <w:rFonts w:hint="eastAsia"/>
                <w:szCs w:val="21"/>
              </w:rPr>
            </w:pPr>
            <w:r>
              <w:rPr>
                <w:rFonts w:hint="eastAsia"/>
                <w:szCs w:val="21"/>
              </w:rPr>
              <w:t>业绩</w:t>
            </w:r>
          </w:p>
          <w:p>
            <w:pPr>
              <w:adjustRightInd w:val="0"/>
              <w:snapToGrid w:val="0"/>
              <w:jc w:val="center"/>
              <w:rPr>
                <w:rFonts w:hint="eastAsia" w:eastAsia="宋体"/>
                <w:szCs w:val="21"/>
                <w:lang w:eastAsia="zh-CN"/>
              </w:rPr>
            </w:pPr>
            <w:r>
              <w:rPr>
                <w:rFonts w:hint="eastAsia"/>
                <w:szCs w:val="21"/>
                <w:lang w:eastAsia="zh-CN"/>
              </w:rPr>
              <w:t>（</w:t>
            </w:r>
            <w:r>
              <w:rPr>
                <w:rFonts w:hint="eastAsia"/>
                <w:szCs w:val="21"/>
                <w:lang w:val="en-US" w:eastAsia="zh-CN"/>
              </w:rPr>
              <w:t>4分</w:t>
            </w:r>
            <w:r>
              <w:rPr>
                <w:rFonts w:hint="eastAsia"/>
                <w:szCs w:val="21"/>
                <w:lang w:eastAsia="zh-CN"/>
              </w:rPr>
              <w:t>）</w:t>
            </w:r>
          </w:p>
        </w:tc>
        <w:tc>
          <w:tcPr>
            <w:tcW w:w="1559" w:type="dxa"/>
            <w:noWrap w:val="0"/>
            <w:vAlign w:val="center"/>
          </w:tcPr>
          <w:p>
            <w:pPr>
              <w:adjustRightInd w:val="0"/>
              <w:snapToGrid w:val="0"/>
              <w:jc w:val="center"/>
              <w:rPr>
                <w:color w:val="auto"/>
                <w:szCs w:val="21"/>
              </w:rPr>
            </w:pPr>
            <w:r>
              <w:rPr>
                <w:color w:val="auto"/>
                <w:szCs w:val="21"/>
              </w:rPr>
              <w:t>2</w:t>
            </w:r>
            <w:r>
              <w:rPr>
                <w:rFonts w:hint="eastAsia"/>
                <w:color w:val="auto"/>
                <w:szCs w:val="21"/>
              </w:rPr>
              <w:t>.</w:t>
            </w:r>
            <w:r>
              <w:rPr>
                <w:rFonts w:hint="eastAsia"/>
                <w:color w:val="auto"/>
                <w:szCs w:val="21"/>
                <w:lang w:val="en-US" w:eastAsia="zh-CN"/>
              </w:rPr>
              <w:t>3</w:t>
            </w:r>
            <w:r>
              <w:rPr>
                <w:rFonts w:hint="eastAsia"/>
                <w:color w:val="auto"/>
                <w:szCs w:val="21"/>
              </w:rPr>
              <w:t>.1</w:t>
            </w:r>
          </w:p>
          <w:p>
            <w:pPr>
              <w:adjustRightInd w:val="0"/>
              <w:snapToGrid w:val="0"/>
              <w:jc w:val="center"/>
              <w:rPr>
                <w:rFonts w:hint="eastAsia" w:eastAsia="宋体"/>
                <w:color w:val="auto"/>
                <w:szCs w:val="21"/>
                <w:lang w:eastAsia="zh-CN"/>
              </w:rPr>
            </w:pPr>
            <w:r>
              <w:rPr>
                <w:rFonts w:hint="eastAsia"/>
                <w:color w:val="auto"/>
                <w:szCs w:val="21"/>
              </w:rPr>
              <w:t>教师</w:t>
            </w:r>
            <w:r>
              <w:rPr>
                <w:color w:val="auto"/>
                <w:szCs w:val="21"/>
              </w:rPr>
              <w:t>教学</w:t>
            </w:r>
            <w:r>
              <w:rPr>
                <w:rFonts w:hint="eastAsia"/>
                <w:color w:val="auto"/>
                <w:szCs w:val="21"/>
                <w:lang w:val="en-US" w:eastAsia="zh-CN"/>
              </w:rPr>
              <w:t>业绩</w:t>
            </w:r>
            <w:r>
              <w:rPr>
                <w:rFonts w:hint="eastAsia"/>
                <w:color w:val="auto"/>
                <w:szCs w:val="21"/>
                <w:lang w:eastAsia="zh-CN"/>
              </w:rPr>
              <w:t>（</w:t>
            </w:r>
            <w:r>
              <w:rPr>
                <w:rFonts w:hint="eastAsia"/>
                <w:color w:val="auto"/>
                <w:szCs w:val="21"/>
                <w:lang w:val="en-US" w:eastAsia="zh-CN"/>
              </w:rPr>
              <w:t>1分</w:t>
            </w:r>
            <w:r>
              <w:rPr>
                <w:rFonts w:hint="eastAsia"/>
                <w:color w:val="auto"/>
                <w:szCs w:val="21"/>
                <w:lang w:eastAsia="zh-CN"/>
              </w:rPr>
              <w:t>）</w:t>
            </w:r>
          </w:p>
        </w:tc>
        <w:tc>
          <w:tcPr>
            <w:tcW w:w="5075" w:type="dxa"/>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近五年专业教师治学严谨、教书育人、为人师表，参加各类校级及以上教学竞赛获奖、获得校级及以上教学类荣誉称号、指导学生参加学科竞赛获省级及以上等级奖，或指导学生研究性学习项目、创新创业项目获得省级及以上立项；单人多次获奖的不重复计算</w:t>
            </w:r>
          </w:p>
        </w:tc>
        <w:tc>
          <w:tcPr>
            <w:tcW w:w="500"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B</w:t>
            </w:r>
          </w:p>
        </w:tc>
        <w:tc>
          <w:tcPr>
            <w:tcW w:w="657" w:type="dxa"/>
            <w:noWrap w:val="0"/>
            <w:vAlign w:val="center"/>
          </w:tcPr>
          <w:p>
            <w:pPr>
              <w:adjustRightInd w:val="0"/>
              <w:snapToGrid w:val="0"/>
              <w:jc w:val="center"/>
              <w:rPr>
                <w:rFonts w:hint="default" w:ascii="仿宋" w:hAnsi="仿宋" w:eastAsia="仿宋"/>
                <w:szCs w:val="21"/>
                <w:lang w:val="en-US" w:eastAsia="zh-CN"/>
              </w:rPr>
            </w:pPr>
            <w:r>
              <w:rPr>
                <w:rFonts w:hint="eastAsia" w:ascii="仿宋" w:hAnsi="仿宋" w:eastAsia="仿宋"/>
                <w:szCs w:val="21"/>
                <w:lang w:val="en-US" w:eastAsia="zh-CN"/>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color w:val="auto"/>
                <w:szCs w:val="21"/>
              </w:rPr>
            </w:pPr>
            <w:r>
              <w:rPr>
                <w:color w:val="auto"/>
                <w:szCs w:val="21"/>
              </w:rPr>
              <w:t>2.</w:t>
            </w:r>
            <w:r>
              <w:rPr>
                <w:rFonts w:hint="eastAsia"/>
                <w:color w:val="auto"/>
                <w:szCs w:val="21"/>
                <w:lang w:val="en-US" w:eastAsia="zh-CN"/>
              </w:rPr>
              <w:t>3</w:t>
            </w:r>
            <w:r>
              <w:rPr>
                <w:color w:val="auto"/>
                <w:szCs w:val="21"/>
              </w:rPr>
              <w:t>.2</w:t>
            </w:r>
          </w:p>
          <w:p>
            <w:pPr>
              <w:adjustRightInd w:val="0"/>
              <w:snapToGrid w:val="0"/>
              <w:jc w:val="center"/>
              <w:rPr>
                <w:color w:val="auto"/>
                <w:szCs w:val="21"/>
              </w:rPr>
            </w:pPr>
            <w:r>
              <w:rPr>
                <w:rFonts w:hint="eastAsia"/>
                <w:color w:val="auto"/>
                <w:szCs w:val="21"/>
              </w:rPr>
              <w:t>教师</w:t>
            </w:r>
            <w:r>
              <w:rPr>
                <w:color w:val="auto"/>
                <w:szCs w:val="21"/>
              </w:rPr>
              <w:t>科研</w:t>
            </w:r>
            <w:r>
              <w:rPr>
                <w:rFonts w:hint="eastAsia"/>
                <w:color w:val="auto"/>
                <w:szCs w:val="21"/>
              </w:rPr>
              <w:t>和创作</w:t>
            </w:r>
            <w:r>
              <w:rPr>
                <w:color w:val="auto"/>
                <w:szCs w:val="21"/>
              </w:rPr>
              <w:t>情况</w:t>
            </w:r>
          </w:p>
          <w:p>
            <w:pPr>
              <w:adjustRightInd w:val="0"/>
              <w:snapToGrid w:val="0"/>
              <w:jc w:val="center"/>
              <w:rPr>
                <w:rFonts w:hint="eastAsia" w:eastAsia="宋体"/>
                <w:color w:val="auto"/>
                <w:szCs w:val="21"/>
                <w:lang w:eastAsia="zh-CN"/>
              </w:rPr>
            </w:pPr>
            <w:r>
              <w:rPr>
                <w:rFonts w:hint="eastAsia"/>
                <w:color w:val="auto"/>
                <w:szCs w:val="21"/>
                <w:lang w:eastAsia="zh-CN"/>
              </w:rPr>
              <w:t>（</w:t>
            </w:r>
            <w:r>
              <w:rPr>
                <w:rFonts w:hint="eastAsia"/>
                <w:color w:val="auto"/>
                <w:szCs w:val="21"/>
                <w:lang w:val="en-US" w:eastAsia="zh-CN"/>
              </w:rPr>
              <w:t>2分</w:t>
            </w:r>
            <w:r>
              <w:rPr>
                <w:rFonts w:hint="eastAsia"/>
                <w:color w:val="auto"/>
                <w:szCs w:val="21"/>
                <w:lang w:eastAsia="zh-CN"/>
              </w:rPr>
              <w:t>）</w:t>
            </w:r>
          </w:p>
        </w:tc>
        <w:tc>
          <w:tcPr>
            <w:tcW w:w="5075" w:type="dxa"/>
            <w:noWrap w:val="0"/>
            <w:vAlign w:val="top"/>
          </w:tcPr>
          <w:p>
            <w:pPr>
              <w:keepNext w:val="0"/>
              <w:keepLines w:val="0"/>
              <w:widowControl/>
              <w:suppressLineNumbers w:val="0"/>
              <w:jc w:val="left"/>
              <w:textAlignment w:val="top"/>
              <w:rPr>
                <w:rFonts w:hint="eastAsia" w:ascii="仿宋" w:hAnsi="仿宋" w:eastAsia="仿宋" w:cs="Times New Roman"/>
                <w:color w:val="auto"/>
                <w:szCs w:val="21"/>
              </w:rPr>
            </w:pPr>
            <w:r>
              <w:rPr>
                <w:rFonts w:hint="eastAsia" w:ascii="仿宋" w:hAnsi="仿宋" w:eastAsia="仿宋" w:cs="仿宋"/>
                <w:i w:val="0"/>
                <w:iCs w:val="0"/>
                <w:color w:val="000000"/>
                <w:kern w:val="0"/>
                <w:sz w:val="20"/>
                <w:szCs w:val="20"/>
                <w:u w:val="none"/>
                <w:lang w:val="en-US" w:eastAsia="zh-CN" w:bidi="ar"/>
              </w:rPr>
              <w:t>近五年，专业教师以第一署名单位发表核心期刊及以上学术论文、专利、软件著作权、作品等合计不少于2件/人/年、科研项目经费不少于3万/人/年；获得省部级及以上科研奖励不少于1项／人</w:t>
            </w:r>
          </w:p>
        </w:tc>
        <w:tc>
          <w:tcPr>
            <w:tcW w:w="500"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B</w:t>
            </w:r>
          </w:p>
        </w:tc>
        <w:tc>
          <w:tcPr>
            <w:tcW w:w="657" w:type="dxa"/>
            <w:noWrap w:val="0"/>
            <w:vAlign w:val="center"/>
          </w:tcPr>
          <w:p>
            <w:pPr>
              <w:adjustRightInd w:val="0"/>
              <w:snapToGrid w:val="0"/>
              <w:jc w:val="center"/>
              <w:rPr>
                <w:rFonts w:hint="default" w:ascii="仿宋" w:hAnsi="仿宋" w:eastAsia="仿宋"/>
                <w:szCs w:val="21"/>
                <w:lang w:val="en-US" w:eastAsia="zh-CN"/>
              </w:rPr>
            </w:pPr>
            <w:r>
              <w:rPr>
                <w:rFonts w:hint="eastAsia" w:ascii="仿宋" w:hAnsi="仿宋" w:eastAsia="仿宋"/>
                <w:szCs w:val="21"/>
                <w:lang w:val="en-US" w:eastAsia="zh-CN"/>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color w:val="auto"/>
                <w:szCs w:val="21"/>
              </w:rPr>
            </w:pPr>
            <w:r>
              <w:rPr>
                <w:color w:val="auto"/>
                <w:szCs w:val="21"/>
              </w:rPr>
              <w:t>2</w:t>
            </w:r>
            <w:r>
              <w:rPr>
                <w:rFonts w:hint="eastAsia"/>
                <w:color w:val="auto"/>
                <w:szCs w:val="21"/>
              </w:rPr>
              <w:t>.</w:t>
            </w:r>
            <w:r>
              <w:rPr>
                <w:rFonts w:hint="eastAsia"/>
                <w:color w:val="auto"/>
                <w:szCs w:val="21"/>
                <w:lang w:val="en-US" w:eastAsia="zh-CN"/>
              </w:rPr>
              <w:t>3</w:t>
            </w:r>
            <w:r>
              <w:rPr>
                <w:rFonts w:hint="eastAsia"/>
                <w:color w:val="auto"/>
                <w:szCs w:val="21"/>
              </w:rPr>
              <w:t>.3</w:t>
            </w:r>
          </w:p>
          <w:p>
            <w:pPr>
              <w:adjustRightInd w:val="0"/>
              <w:snapToGrid w:val="0"/>
              <w:jc w:val="center"/>
              <w:rPr>
                <w:rFonts w:hint="eastAsia" w:eastAsia="宋体"/>
                <w:color w:val="auto"/>
                <w:szCs w:val="21"/>
                <w:lang w:eastAsia="zh-CN"/>
              </w:rPr>
            </w:pPr>
            <w:r>
              <w:rPr>
                <w:rFonts w:hint="eastAsia"/>
                <w:color w:val="auto"/>
                <w:szCs w:val="21"/>
              </w:rPr>
              <w:t>中青年</w:t>
            </w:r>
            <w:r>
              <w:rPr>
                <w:color w:val="auto"/>
                <w:szCs w:val="21"/>
              </w:rPr>
              <w:t>教师</w:t>
            </w:r>
            <w:r>
              <w:rPr>
                <w:rFonts w:hint="eastAsia"/>
                <w:color w:val="auto"/>
                <w:szCs w:val="21"/>
              </w:rPr>
              <w:t>发展</w:t>
            </w:r>
            <w:r>
              <w:rPr>
                <w:rFonts w:hint="eastAsia"/>
                <w:color w:val="auto"/>
                <w:szCs w:val="21"/>
                <w:lang w:eastAsia="zh-CN"/>
              </w:rPr>
              <w:t>（</w:t>
            </w:r>
            <w:r>
              <w:rPr>
                <w:rFonts w:hint="eastAsia"/>
                <w:color w:val="auto"/>
                <w:szCs w:val="21"/>
                <w:lang w:val="en-US" w:eastAsia="zh-CN"/>
              </w:rPr>
              <w:t>1分</w:t>
            </w:r>
            <w:r>
              <w:rPr>
                <w:rFonts w:hint="eastAsia"/>
                <w:color w:val="auto"/>
                <w:szCs w:val="21"/>
                <w:lang w:eastAsia="zh-CN"/>
              </w:rPr>
              <w:t>）</w:t>
            </w:r>
          </w:p>
        </w:tc>
        <w:tc>
          <w:tcPr>
            <w:tcW w:w="5075" w:type="dxa"/>
            <w:noWrap w:val="0"/>
            <w:vAlign w:val="top"/>
          </w:tcPr>
          <w:p>
            <w:pPr>
              <w:keepNext w:val="0"/>
              <w:keepLines w:val="0"/>
              <w:widowControl/>
              <w:suppressLineNumbers w:val="0"/>
              <w:jc w:val="left"/>
              <w:textAlignment w:val="top"/>
              <w:rPr>
                <w:rFonts w:hint="eastAsia" w:ascii="仿宋" w:hAnsi="仿宋" w:eastAsia="仿宋" w:cs="Times New Roman"/>
                <w:color w:val="auto"/>
                <w:szCs w:val="21"/>
              </w:rPr>
            </w:pPr>
            <w:r>
              <w:rPr>
                <w:rFonts w:hint="eastAsia" w:ascii="仿宋" w:hAnsi="仿宋" w:eastAsia="仿宋" w:cs="仿宋"/>
                <w:i w:val="0"/>
                <w:iCs w:val="0"/>
                <w:color w:val="000000"/>
                <w:kern w:val="0"/>
                <w:sz w:val="20"/>
                <w:szCs w:val="20"/>
                <w:u w:val="none"/>
                <w:lang w:val="en-US" w:eastAsia="zh-CN" w:bidi="ar"/>
              </w:rPr>
              <w:t>专业实施青年教师上岗培训制度；近五年实施中青年专业教师培养的比例，包括参加3个月及以上的国内外学术访问或课程进修、去行业单位参加3个月及以上实践锻炼、在职攻读硕博士学位、参加各类教学会议或培训、各类省级人才培养对象验收合格，单人多次接受培养的不重复</w:t>
            </w:r>
          </w:p>
        </w:tc>
        <w:tc>
          <w:tcPr>
            <w:tcW w:w="500"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B</w:t>
            </w:r>
          </w:p>
        </w:tc>
        <w:tc>
          <w:tcPr>
            <w:tcW w:w="657" w:type="dxa"/>
            <w:noWrap w:val="0"/>
            <w:vAlign w:val="center"/>
          </w:tcPr>
          <w:p>
            <w:pPr>
              <w:adjustRightInd w:val="0"/>
              <w:snapToGrid w:val="0"/>
              <w:jc w:val="center"/>
              <w:rPr>
                <w:rFonts w:hint="default" w:ascii="仿宋" w:hAnsi="仿宋" w:eastAsia="仿宋"/>
                <w:szCs w:val="21"/>
                <w:lang w:val="en-US" w:eastAsia="zh-CN"/>
              </w:rPr>
            </w:pPr>
            <w:r>
              <w:rPr>
                <w:rFonts w:hint="eastAsia" w:ascii="仿宋" w:hAnsi="仿宋" w:eastAsia="仿宋"/>
                <w:szCs w:val="21"/>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8"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snapToGrid w:val="0"/>
                <w:color w:val="auto"/>
                <w:kern w:val="0"/>
                <w:sz w:val="24"/>
                <w:szCs w:val="24"/>
                <w:lang w:val="en-US" w:eastAsia="zh-CN"/>
              </w:rPr>
            </w:pPr>
            <w:r>
              <w:rPr>
                <w:rFonts w:hint="eastAsia" w:ascii="宋体" w:hAnsi="宋体" w:eastAsia="宋体" w:cs="宋体"/>
                <w:b w:val="0"/>
                <w:bCs w:val="0"/>
                <w:snapToGrid w:val="0"/>
                <w:color w:val="auto"/>
                <w:kern w:val="0"/>
                <w:sz w:val="24"/>
                <w:szCs w:val="24"/>
              </w:rPr>
              <w:t>2.</w:t>
            </w:r>
            <w:r>
              <w:rPr>
                <w:rFonts w:hint="eastAsia" w:ascii="宋体" w:hAnsi="宋体" w:eastAsia="宋体" w:cs="宋体"/>
                <w:b w:val="0"/>
                <w:bCs w:val="0"/>
                <w:snapToGrid w:val="0"/>
                <w:color w:val="auto"/>
                <w:kern w:val="0"/>
                <w:sz w:val="24"/>
                <w:szCs w:val="24"/>
                <w:lang w:val="en-US" w:eastAsia="zh-CN"/>
              </w:rPr>
              <w:t>3</w:t>
            </w:r>
            <w:r>
              <w:rPr>
                <w:rFonts w:hint="eastAsia" w:ascii="宋体" w:hAnsi="宋体" w:eastAsia="宋体" w:cs="宋体"/>
                <w:b w:val="0"/>
                <w:bCs w:val="0"/>
                <w:snapToGrid w:val="0"/>
                <w:color w:val="auto"/>
                <w:kern w:val="0"/>
                <w:sz w:val="24"/>
                <w:szCs w:val="24"/>
              </w:rPr>
              <w:t>.1教师教学</w:t>
            </w:r>
            <w:r>
              <w:rPr>
                <w:rFonts w:hint="eastAsia" w:ascii="宋体" w:hAnsi="宋体" w:eastAsia="宋体" w:cs="宋体"/>
                <w:b w:val="0"/>
                <w:bCs w:val="0"/>
                <w:snapToGrid w:val="0"/>
                <w:color w:val="auto"/>
                <w:kern w:val="0"/>
                <w:sz w:val="24"/>
                <w:szCs w:val="24"/>
                <w:lang w:val="en-US" w:eastAsia="zh-CN"/>
              </w:rPr>
              <w:t>业绩</w:t>
            </w:r>
          </w:p>
          <w:p>
            <w:pPr>
              <w:pStyle w:val="2"/>
              <w:pageBreakBefore w:val="0"/>
              <w:widowControl w:val="0"/>
              <w:kinsoku/>
              <w:wordWrap/>
              <w:overflowPunct/>
              <w:topLinePunct w:val="0"/>
              <w:autoSpaceDE/>
              <w:autoSpaceDN/>
              <w:bidi w:val="0"/>
              <w:spacing w:line="360" w:lineRule="auto"/>
              <w:textAlignment w:val="auto"/>
              <w:rPr>
                <w:rFonts w:hint="eastAsia"/>
                <w:lang w:val="en-US" w:eastAsia="zh-CN"/>
              </w:rPr>
            </w:pPr>
            <w:r>
              <w:rPr>
                <w:rFonts w:hint="eastAsia" w:ascii="宋体" w:hAnsi="宋体" w:eastAsia="宋体" w:cs="宋体"/>
                <w:b w:val="0"/>
                <w:bCs w:val="0"/>
                <w:i w:val="0"/>
                <w:iCs w:val="0"/>
                <w:snapToGrid w:val="0"/>
                <w:color w:val="000000"/>
                <w:kern w:val="0"/>
                <w:sz w:val="24"/>
                <w:szCs w:val="24"/>
                <w:u w:val="none"/>
                <w:lang w:val="en-US" w:eastAsia="zh-CN" w:bidi="ar"/>
              </w:rPr>
              <w:t>近五年专业教师治学严谨、教书育人、为人师表，获得校级及以上教学类荣誉称号</w:t>
            </w:r>
            <w:r>
              <w:rPr>
                <w:rFonts w:hint="eastAsia" w:cs="宋体"/>
                <w:b w:val="0"/>
                <w:bCs w:val="0"/>
                <w:i w:val="0"/>
                <w:iCs w:val="0"/>
                <w:snapToGrid w:val="0"/>
                <w:color w:val="000000"/>
                <w:kern w:val="0"/>
                <w:sz w:val="24"/>
                <w:szCs w:val="24"/>
                <w:u w:val="none"/>
                <w:lang w:val="en-US" w:eastAsia="zh-CN" w:bidi="ar"/>
              </w:rPr>
              <w:t>5项；</w:t>
            </w:r>
            <w:r>
              <w:rPr>
                <w:rFonts w:hint="eastAsia" w:ascii="宋体" w:hAnsi="宋体" w:eastAsia="宋体" w:cs="宋体"/>
                <w:b w:val="0"/>
                <w:bCs w:val="0"/>
                <w:i w:val="0"/>
                <w:iCs w:val="0"/>
                <w:snapToGrid w:val="0"/>
                <w:color w:val="000000"/>
                <w:kern w:val="0"/>
                <w:sz w:val="24"/>
                <w:szCs w:val="24"/>
                <w:u w:val="none"/>
                <w:lang w:val="en-US" w:eastAsia="zh-CN" w:bidi="ar"/>
              </w:rPr>
              <w:t>指导学生参加学科竞赛获省级及以上等级奖</w:t>
            </w:r>
            <w:r>
              <w:rPr>
                <w:rFonts w:hint="eastAsia" w:cs="宋体"/>
                <w:b w:val="0"/>
                <w:bCs w:val="0"/>
                <w:i w:val="0"/>
                <w:iCs w:val="0"/>
                <w:snapToGrid w:val="0"/>
                <w:color w:val="000000"/>
                <w:kern w:val="0"/>
                <w:sz w:val="24"/>
                <w:szCs w:val="24"/>
                <w:u w:val="none"/>
                <w:lang w:val="en-US" w:eastAsia="zh-CN" w:bidi="ar"/>
              </w:rPr>
              <w:t>7项</w:t>
            </w:r>
            <w:r>
              <w:rPr>
                <w:rFonts w:hint="eastAsia" w:cs="宋体"/>
                <w:b w:val="0"/>
                <w:bCs w:val="0"/>
                <w:color w:val="000000"/>
                <w:kern w:val="2"/>
                <w:sz w:val="24"/>
                <w:szCs w:val="24"/>
                <w:lang w:val="en-US" w:eastAsia="zh-CN" w:bidi="ar-SA"/>
              </w:rPr>
              <w:t>；</w:t>
            </w:r>
            <w:r>
              <w:rPr>
                <w:rFonts w:hint="eastAsia" w:ascii="宋体" w:hAnsi="宋体" w:cs="宋体"/>
                <w:b w:val="0"/>
                <w:bCs w:val="0"/>
                <w:color w:val="000000"/>
                <w:kern w:val="2"/>
                <w:sz w:val="24"/>
                <w:szCs w:val="24"/>
                <w:lang w:val="en-US" w:eastAsia="zh-CN" w:bidi="ar-SA"/>
              </w:rPr>
              <w:t>SRP立项1项</w:t>
            </w:r>
            <w:r>
              <w:rPr>
                <w:rFonts w:hint="eastAsia" w:cs="宋体"/>
                <w:b w:val="0"/>
                <w:bCs w:val="0"/>
                <w:color w:val="000000"/>
                <w:kern w:val="2"/>
                <w:sz w:val="24"/>
                <w:szCs w:val="24"/>
                <w:lang w:val="en-US" w:eastAsia="zh-CN" w:bidi="ar-SA"/>
              </w:rPr>
              <w:t>；</w:t>
            </w:r>
            <w:r>
              <w:rPr>
                <w:rFonts w:hint="eastAsia" w:ascii="宋体" w:hAnsi="宋体" w:cs="宋体"/>
                <w:b w:val="0"/>
                <w:bCs w:val="0"/>
                <w:color w:val="000000"/>
                <w:kern w:val="2"/>
                <w:sz w:val="24"/>
                <w:szCs w:val="24"/>
                <w:lang w:val="en-US" w:eastAsia="zh-CN" w:bidi="ar-SA"/>
              </w:rPr>
              <w:t>原创舞蹈作品5部，原创歌曲2首，分别在大学生艺术展演、兵团舞蹈大赛、兵团优秀作品征集活动中斩获奖项</w:t>
            </w:r>
            <w:r>
              <w:rPr>
                <w:rFonts w:hint="eastAsia" w:cs="宋体"/>
                <w:b w:val="0"/>
                <w:bCs w:val="0"/>
                <w:color w:val="000000"/>
                <w:kern w:val="2"/>
                <w:sz w:val="24"/>
                <w:szCs w:val="24"/>
                <w:lang w:val="en-US" w:eastAsia="zh-CN" w:bidi="ar-SA"/>
              </w:rPr>
              <w:t>。</w:t>
            </w:r>
          </w:p>
          <w:p>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snapToGrid w:val="0"/>
                <w:color w:val="auto"/>
                <w:kern w:val="0"/>
                <w:sz w:val="24"/>
                <w:szCs w:val="24"/>
              </w:rPr>
            </w:pPr>
            <w:r>
              <w:rPr>
                <w:rFonts w:hint="eastAsia" w:ascii="宋体" w:hAnsi="宋体" w:eastAsia="宋体" w:cs="宋体"/>
                <w:b w:val="0"/>
                <w:bCs w:val="0"/>
                <w:snapToGrid w:val="0"/>
                <w:color w:val="auto"/>
                <w:kern w:val="0"/>
                <w:sz w:val="24"/>
                <w:szCs w:val="24"/>
              </w:rPr>
              <w:t>2.</w:t>
            </w:r>
            <w:r>
              <w:rPr>
                <w:rFonts w:hint="eastAsia" w:ascii="宋体" w:hAnsi="宋体" w:eastAsia="宋体" w:cs="宋体"/>
                <w:b w:val="0"/>
                <w:bCs w:val="0"/>
                <w:snapToGrid w:val="0"/>
                <w:color w:val="auto"/>
                <w:kern w:val="0"/>
                <w:sz w:val="24"/>
                <w:szCs w:val="24"/>
                <w:lang w:val="en-US" w:eastAsia="zh-CN"/>
              </w:rPr>
              <w:t>3</w:t>
            </w:r>
            <w:r>
              <w:rPr>
                <w:rFonts w:hint="eastAsia" w:ascii="宋体" w:hAnsi="宋体" w:eastAsia="宋体" w:cs="宋体"/>
                <w:b w:val="0"/>
                <w:bCs w:val="0"/>
                <w:snapToGrid w:val="0"/>
                <w:color w:val="auto"/>
                <w:kern w:val="0"/>
                <w:sz w:val="24"/>
                <w:szCs w:val="24"/>
              </w:rPr>
              <w:t>.2教师科研和创作情况</w:t>
            </w:r>
          </w:p>
          <w:p>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color w:val="000000"/>
                <w:kern w:val="2"/>
                <w:sz w:val="24"/>
                <w:szCs w:val="24"/>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近五年，专业教师以第一署名单位发表核心期刊及以上学术论文</w:t>
            </w:r>
            <w:r>
              <w:rPr>
                <w:rFonts w:hint="eastAsia" w:ascii="宋体" w:hAnsi="宋体" w:cs="宋体"/>
                <w:b w:val="0"/>
                <w:bCs w:val="0"/>
                <w:i w:val="0"/>
                <w:iCs w:val="0"/>
                <w:snapToGrid w:val="0"/>
                <w:color w:val="000000"/>
                <w:kern w:val="0"/>
                <w:sz w:val="24"/>
                <w:szCs w:val="24"/>
                <w:u w:val="none"/>
                <w:lang w:val="en-US" w:eastAsia="zh-CN" w:bidi="ar"/>
              </w:rPr>
              <w:t>2篇；出版专著3本；</w:t>
            </w:r>
            <w:r>
              <w:rPr>
                <w:rFonts w:hint="eastAsia" w:ascii="宋体" w:hAnsi="宋体" w:cs="宋体"/>
                <w:b w:val="0"/>
                <w:bCs w:val="0"/>
                <w:color w:val="000000"/>
                <w:kern w:val="2"/>
                <w:sz w:val="24"/>
                <w:szCs w:val="24"/>
                <w:lang w:val="en-US" w:eastAsia="zh-CN" w:bidi="ar-SA"/>
              </w:rPr>
              <w:t>发表国家级媒体文章3篇；发表省级媒体文章2篇；在省级刊物上发表论文20余篇；立项教育部课题1项（已结题），校级课题4项（在研）；校级教学改革立项1项；校级思政课程立项4门。</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napToGrid w:val="0"/>
                <w:kern w:val="0"/>
                <w:sz w:val="24"/>
                <w:szCs w:val="24"/>
                <w:lang w:val="en-US" w:eastAsia="zh-CN"/>
              </w:rPr>
            </w:pPr>
            <w:r>
              <w:rPr>
                <w:rFonts w:hint="eastAsia" w:ascii="宋体" w:hAnsi="宋体" w:eastAsia="宋体" w:cs="宋体"/>
                <w:b w:val="0"/>
                <w:bCs w:val="0"/>
                <w:snapToGrid w:val="0"/>
                <w:kern w:val="0"/>
                <w:sz w:val="24"/>
                <w:szCs w:val="24"/>
                <w:lang w:val="en-US" w:eastAsia="zh-CN"/>
              </w:rPr>
              <w:t>2.3.3中青年教师发展</w:t>
            </w:r>
          </w:p>
          <w:p>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学校相关部门出台多项政策，如“263”青年骨干教师培养计划、“3152”高层次人才培养计划、教师网络课程在线培训，引导、支持、鼓励教师外出进修、访学、提升教师学历，教务处每学年举办青年教师教科比赛、教师教学设计大赛，开展课程建设和混合式教学改革等举措，对提升教师教学能力和专业水平起到积极的促进作用。</w:t>
            </w:r>
          </w:p>
          <w:p>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本专业</w:t>
            </w:r>
            <w:r>
              <w:rPr>
                <w:rFonts w:hint="eastAsia" w:ascii="宋体" w:hAnsi="宋体" w:eastAsia="宋体" w:cs="宋体"/>
                <w:color w:val="auto"/>
                <w:sz w:val="24"/>
                <w:highlight w:val="none"/>
              </w:rPr>
              <w:t>教师参加各类培训、学术交流</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人次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1人获兵团高校课程思政展示活动一等奖；2</w:t>
            </w:r>
            <w:r>
              <w:rPr>
                <w:rFonts w:hint="eastAsia" w:ascii="宋体" w:hAnsi="宋体" w:eastAsia="宋体" w:cs="宋体"/>
                <w:color w:val="auto"/>
                <w:sz w:val="24"/>
                <w:highlight w:val="none"/>
              </w:rPr>
              <w:t>人获</w:t>
            </w:r>
            <w:r>
              <w:rPr>
                <w:rFonts w:hint="eastAsia" w:ascii="宋体" w:hAnsi="宋体" w:eastAsia="宋体" w:cs="宋体"/>
                <w:color w:val="auto"/>
                <w:sz w:val="24"/>
                <w:highlight w:val="none"/>
                <w:lang w:eastAsia="zh-CN"/>
              </w:rPr>
              <w:t>校级</w:t>
            </w:r>
            <w:r>
              <w:rPr>
                <w:rFonts w:hint="eastAsia" w:ascii="宋体" w:hAnsi="宋体" w:eastAsia="宋体" w:cs="宋体"/>
                <w:color w:val="auto"/>
                <w:sz w:val="24"/>
                <w:highlight w:val="none"/>
              </w:rPr>
              <w:t>青年教师讲课比赛三等奖</w:t>
            </w:r>
            <w:r>
              <w:rPr>
                <w:rFonts w:hint="eastAsia" w:ascii="宋体" w:hAnsi="宋体" w:eastAsia="宋体" w:cs="宋体"/>
                <w:color w:val="auto"/>
                <w:sz w:val="24"/>
                <w:highlight w:val="none"/>
                <w:lang w:eastAsia="zh-CN"/>
              </w:rPr>
              <w:t>、优秀奖；</w:t>
            </w:r>
            <w:r>
              <w:rPr>
                <w:rFonts w:hint="eastAsia" w:ascii="宋体" w:hAnsi="宋体" w:eastAsia="宋体" w:cs="宋体"/>
                <w:color w:val="auto"/>
                <w:sz w:val="24"/>
                <w:highlight w:val="none"/>
              </w:rPr>
              <w:t>1人获</w:t>
            </w:r>
            <w:r>
              <w:rPr>
                <w:rFonts w:hint="eastAsia" w:ascii="宋体" w:hAnsi="宋体" w:eastAsia="宋体" w:cs="宋体"/>
                <w:color w:val="auto"/>
                <w:sz w:val="24"/>
                <w:highlight w:val="none"/>
                <w:lang w:eastAsia="zh-CN"/>
              </w:rPr>
              <w:t>校级教师</w:t>
            </w:r>
            <w:r>
              <w:rPr>
                <w:rFonts w:hint="eastAsia" w:ascii="宋体" w:hAnsi="宋体" w:eastAsia="宋体" w:cs="宋体"/>
                <w:color w:val="auto"/>
                <w:sz w:val="24"/>
                <w:highlight w:val="none"/>
              </w:rPr>
              <w:t>教学</w:t>
            </w:r>
            <w:r>
              <w:rPr>
                <w:rFonts w:hint="eastAsia" w:ascii="宋体" w:hAnsi="宋体" w:eastAsia="宋体" w:cs="宋体"/>
                <w:color w:val="auto"/>
                <w:sz w:val="24"/>
                <w:highlight w:val="none"/>
                <w:lang w:eastAsia="zh-CN"/>
              </w:rPr>
              <w:t>创新</w:t>
            </w:r>
            <w:r>
              <w:rPr>
                <w:rFonts w:hint="eastAsia" w:ascii="宋体" w:hAnsi="宋体" w:eastAsia="宋体" w:cs="宋体"/>
                <w:color w:val="auto"/>
                <w:sz w:val="24"/>
                <w:highlight w:val="none"/>
              </w:rPr>
              <w:t>比赛</w:t>
            </w: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等奖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1人获</w:t>
            </w:r>
            <w:r>
              <w:rPr>
                <w:rFonts w:hint="eastAsia" w:ascii="宋体" w:hAnsi="宋体" w:eastAsia="宋体" w:cs="宋体"/>
                <w:color w:val="auto"/>
                <w:sz w:val="24"/>
                <w:highlight w:val="none"/>
                <w:lang w:eastAsia="zh-CN"/>
              </w:rPr>
              <w:t>校级课程思政</w:t>
            </w:r>
            <w:r>
              <w:rPr>
                <w:rFonts w:hint="eastAsia" w:ascii="宋体" w:hAnsi="宋体" w:eastAsia="宋体" w:cs="宋体"/>
                <w:color w:val="auto"/>
                <w:sz w:val="24"/>
                <w:highlight w:val="none"/>
              </w:rPr>
              <w:t>教学名师</w:t>
            </w:r>
            <w:r>
              <w:rPr>
                <w:rFonts w:hint="eastAsia" w:ascii="宋体" w:hAnsi="宋体" w:eastAsia="宋体" w:cs="宋体"/>
                <w:color w:val="auto"/>
                <w:sz w:val="24"/>
                <w:highlight w:val="none"/>
                <w:lang w:eastAsia="zh-CN"/>
              </w:rPr>
              <w:t>称号；</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获批学</w:t>
            </w:r>
            <w:r>
              <w:rPr>
                <w:rFonts w:hint="eastAsia" w:ascii="宋体" w:hAnsi="宋体" w:eastAsia="宋体" w:cs="宋体"/>
                <w:color w:val="auto"/>
                <w:sz w:val="24"/>
                <w:highlight w:val="none"/>
              </w:rPr>
              <w:t>校“3152”高层次人才培养计划。</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2.3.1教师教学业绩</w:t>
            </w:r>
            <w:r>
              <w:rPr>
                <w:rFonts w:hint="eastAsia" w:ascii="宋体" w:hAnsi="宋体" w:cs="宋体"/>
                <w:b w:val="0"/>
                <w:bCs w:val="0"/>
                <w:sz w:val="24"/>
                <w:szCs w:val="24"/>
                <w:lang w:val="en-US" w:eastAsia="zh-CN"/>
              </w:rPr>
              <w:t>清单装订册</w:t>
            </w:r>
          </w:p>
          <w:p>
            <w:pPr>
              <w:pStyle w:val="2"/>
              <w:numPr>
                <w:ilvl w:val="0"/>
                <w:numId w:val="0"/>
              </w:numPr>
              <w:rPr>
                <w:rFonts w:ascii="仿宋" w:hAnsi="仿宋" w:eastAsia="仿宋"/>
                <w:szCs w:val="21"/>
              </w:rPr>
            </w:pPr>
          </w:p>
        </w:tc>
      </w:tr>
    </w:tbl>
    <w:p>
      <w:r>
        <w:br w:type="page"/>
      </w:r>
    </w:p>
    <w:tbl>
      <w:tblPr>
        <w:tblStyle w:val="8"/>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105"/>
        <w:gridCol w:w="570"/>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restart"/>
            <w:noWrap w:val="0"/>
            <w:vAlign w:val="center"/>
          </w:tcPr>
          <w:p>
            <w:pPr>
              <w:widowControl/>
              <w:jc w:val="center"/>
              <w:rPr>
                <w:rFonts w:hint="eastAsia"/>
                <w:b/>
                <w:szCs w:val="21"/>
              </w:rPr>
            </w:pPr>
            <w:r>
              <w:br w:type="page"/>
            </w:r>
            <w:r>
              <w:rPr>
                <w:rFonts w:hint="eastAsia"/>
                <w:b/>
                <w:szCs w:val="21"/>
              </w:rPr>
              <w:t>二级</w:t>
            </w:r>
          </w:p>
          <w:p>
            <w:pPr>
              <w:widowControl/>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105"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32"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105" w:type="dxa"/>
            <w:vMerge w:val="continue"/>
            <w:noWrap w:val="0"/>
            <w:vAlign w:val="center"/>
          </w:tcPr>
          <w:p>
            <w:pPr>
              <w:adjustRightInd w:val="0"/>
              <w:snapToGrid w:val="0"/>
              <w:jc w:val="center"/>
            </w:pPr>
          </w:p>
        </w:tc>
        <w:tc>
          <w:tcPr>
            <w:tcW w:w="570"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w:t>
            </w:r>
          </w:p>
        </w:tc>
        <w:tc>
          <w:tcPr>
            <w:tcW w:w="662"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76" w:type="dxa"/>
            <w:vMerge w:val="restart"/>
            <w:noWrap w:val="0"/>
            <w:vAlign w:val="center"/>
          </w:tcPr>
          <w:p>
            <w:pPr>
              <w:adjustRightInd w:val="0"/>
              <w:snapToGrid w:val="0"/>
              <w:jc w:val="center"/>
              <w:rPr>
                <w:rFonts w:hint="eastAsia" w:eastAsia="宋体"/>
                <w:szCs w:val="21"/>
                <w:lang w:eastAsia="zh-CN"/>
              </w:rPr>
            </w:pPr>
            <w:r>
              <w:rPr>
                <w:szCs w:val="21"/>
              </w:rPr>
              <w:t>2</w:t>
            </w:r>
            <w:r>
              <w:rPr>
                <w:rFonts w:hint="eastAsia"/>
                <w:szCs w:val="21"/>
              </w:rPr>
              <w:t>.</w:t>
            </w:r>
            <w:r>
              <w:rPr>
                <w:rFonts w:hint="eastAsia"/>
                <w:szCs w:val="21"/>
                <w:lang w:val="en-US" w:eastAsia="zh-CN"/>
              </w:rPr>
              <w:t>4</w:t>
            </w:r>
          </w:p>
          <w:p>
            <w:pPr>
              <w:adjustRightInd w:val="0"/>
              <w:snapToGrid w:val="0"/>
              <w:jc w:val="center"/>
              <w:rPr>
                <w:rFonts w:hint="eastAsia"/>
                <w:szCs w:val="21"/>
              </w:rPr>
            </w:pPr>
            <w:r>
              <w:rPr>
                <w:rFonts w:hint="eastAsia"/>
                <w:szCs w:val="21"/>
              </w:rPr>
              <w:t>教师精力</w:t>
            </w:r>
          </w:p>
          <w:p>
            <w:pPr>
              <w:adjustRightInd w:val="0"/>
              <w:snapToGrid w:val="0"/>
              <w:jc w:val="center"/>
              <w:rPr>
                <w:rFonts w:hint="eastAsia" w:eastAsia="宋体"/>
                <w:szCs w:val="21"/>
                <w:lang w:eastAsia="zh-CN"/>
              </w:rPr>
            </w:pPr>
            <w:r>
              <w:rPr>
                <w:rFonts w:hint="eastAsia"/>
                <w:szCs w:val="21"/>
              </w:rPr>
              <w:t>投入</w:t>
            </w:r>
            <w:r>
              <w:rPr>
                <w:rFonts w:hint="eastAsia"/>
                <w:szCs w:val="21"/>
                <w:lang w:eastAsia="zh-CN"/>
              </w:rPr>
              <w:t>（</w:t>
            </w:r>
            <w:r>
              <w:rPr>
                <w:rFonts w:hint="eastAsia"/>
                <w:szCs w:val="21"/>
                <w:lang w:val="en-US" w:eastAsia="zh-CN"/>
              </w:rPr>
              <w:t>5分</w:t>
            </w:r>
            <w:r>
              <w:rPr>
                <w:rFonts w:hint="eastAsia"/>
                <w:szCs w:val="21"/>
                <w:lang w:eastAsia="zh-CN"/>
              </w:rPr>
              <w:t>）</w:t>
            </w:r>
          </w:p>
        </w:tc>
        <w:tc>
          <w:tcPr>
            <w:tcW w:w="1559" w:type="dxa"/>
            <w:noWrap w:val="0"/>
            <w:vAlign w:val="center"/>
          </w:tcPr>
          <w:p>
            <w:pPr>
              <w:adjustRightInd w:val="0"/>
              <w:snapToGrid w:val="0"/>
              <w:jc w:val="center"/>
              <w:rPr>
                <w:color w:val="auto"/>
                <w:szCs w:val="21"/>
                <w:highlight w:val="none"/>
              </w:rPr>
            </w:pPr>
            <w:r>
              <w:rPr>
                <w:color w:val="auto"/>
                <w:szCs w:val="21"/>
                <w:highlight w:val="none"/>
              </w:rPr>
              <w:t>2</w:t>
            </w:r>
            <w:r>
              <w:rPr>
                <w:rFonts w:hint="eastAsia"/>
                <w:color w:val="auto"/>
                <w:szCs w:val="21"/>
                <w:highlight w:val="none"/>
              </w:rPr>
              <w:t>.</w:t>
            </w:r>
            <w:r>
              <w:rPr>
                <w:rFonts w:hint="eastAsia"/>
                <w:color w:val="auto"/>
                <w:szCs w:val="21"/>
                <w:highlight w:val="none"/>
                <w:lang w:val="en-US" w:eastAsia="zh-CN"/>
              </w:rPr>
              <w:t>4</w:t>
            </w:r>
            <w:r>
              <w:rPr>
                <w:rFonts w:hint="eastAsia"/>
                <w:color w:val="auto"/>
                <w:szCs w:val="21"/>
                <w:highlight w:val="none"/>
              </w:rPr>
              <w:t>.1</w:t>
            </w:r>
          </w:p>
          <w:p>
            <w:pPr>
              <w:adjustRightInd w:val="0"/>
              <w:snapToGrid w:val="0"/>
              <w:jc w:val="center"/>
              <w:rPr>
                <w:rFonts w:hint="eastAsia" w:eastAsia="宋体"/>
                <w:color w:val="auto"/>
                <w:szCs w:val="21"/>
                <w:highlight w:val="none"/>
                <w:lang w:eastAsia="zh-CN"/>
              </w:rPr>
            </w:pPr>
            <w:r>
              <w:rPr>
                <w:rFonts w:hint="eastAsia"/>
                <w:color w:val="auto"/>
                <w:szCs w:val="21"/>
                <w:highlight w:val="none"/>
              </w:rPr>
              <w:t>教学任务</w:t>
            </w:r>
            <w:r>
              <w:rPr>
                <w:color w:val="auto"/>
                <w:szCs w:val="21"/>
                <w:highlight w:val="none"/>
              </w:rPr>
              <w:t>承担</w:t>
            </w:r>
            <w:r>
              <w:rPr>
                <w:rFonts w:hint="eastAsia"/>
                <w:color w:val="auto"/>
                <w:szCs w:val="21"/>
                <w:highlight w:val="none"/>
                <w:lang w:eastAsia="zh-CN"/>
              </w:rPr>
              <w:t>（</w:t>
            </w:r>
            <w:r>
              <w:rPr>
                <w:rFonts w:hint="eastAsia"/>
                <w:color w:val="auto"/>
                <w:szCs w:val="21"/>
                <w:highlight w:val="none"/>
                <w:lang w:val="en-US" w:eastAsia="zh-CN"/>
              </w:rPr>
              <w:t>1分</w:t>
            </w:r>
            <w:r>
              <w:rPr>
                <w:rFonts w:hint="eastAsia"/>
                <w:color w:val="auto"/>
                <w:szCs w:val="21"/>
                <w:highlight w:val="none"/>
                <w:lang w:eastAsia="zh-CN"/>
              </w:rPr>
              <w:t>）</w:t>
            </w:r>
          </w:p>
        </w:tc>
        <w:tc>
          <w:tcPr>
            <w:tcW w:w="5105" w:type="dxa"/>
            <w:noWrap w:val="0"/>
            <w:vAlign w:val="top"/>
          </w:tcPr>
          <w:p>
            <w:pPr>
              <w:keepNext w:val="0"/>
              <w:keepLines w:val="0"/>
              <w:widowControl/>
              <w:suppressLineNumbers w:val="0"/>
              <w:jc w:val="left"/>
              <w:textAlignment w:val="top"/>
              <w:rPr>
                <w:rFonts w:hint="eastAsia" w:ascii="仿宋" w:hAnsi="仿宋" w:eastAsia="仿宋" w:cs="仿宋"/>
                <w:color w:val="auto"/>
                <w:sz w:val="21"/>
                <w:szCs w:val="21"/>
              </w:rPr>
            </w:pPr>
            <w:r>
              <w:rPr>
                <w:rFonts w:hint="eastAsia" w:ascii="仿宋" w:hAnsi="仿宋" w:eastAsia="仿宋" w:cs="仿宋"/>
                <w:i w:val="0"/>
                <w:iCs w:val="0"/>
                <w:color w:val="000000"/>
                <w:kern w:val="0"/>
                <w:sz w:val="20"/>
                <w:szCs w:val="20"/>
                <w:u w:val="none"/>
                <w:lang w:val="en-US" w:eastAsia="zh-CN" w:bidi="ar"/>
              </w:rPr>
              <w:t>近五年高级职称教师为本科生授课比例达到90%以上；专业课程中近五年由高级职称教师授课比例除以高级职称教师比例达到0.8；企业行业兼职教师承担一定的教学任务</w:t>
            </w:r>
          </w:p>
        </w:tc>
        <w:tc>
          <w:tcPr>
            <w:tcW w:w="570" w:type="dxa"/>
            <w:noWrap w:val="0"/>
            <w:vAlign w:val="top"/>
          </w:tcPr>
          <w:p>
            <w:pPr>
              <w:adjustRightInd w:val="0"/>
              <w:snapToGrid w:val="0"/>
              <w:rPr>
                <w:rFonts w:ascii="仿宋" w:hAnsi="仿宋" w:eastAsia="仿宋"/>
                <w:szCs w:val="21"/>
              </w:rPr>
            </w:pPr>
          </w:p>
        </w:tc>
        <w:tc>
          <w:tcPr>
            <w:tcW w:w="662"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color w:val="auto"/>
                <w:szCs w:val="21"/>
                <w:highlight w:val="none"/>
              </w:rPr>
            </w:pPr>
            <w:r>
              <w:rPr>
                <w:color w:val="auto"/>
                <w:szCs w:val="21"/>
                <w:highlight w:val="none"/>
              </w:rPr>
              <w:t>2</w:t>
            </w:r>
            <w:r>
              <w:rPr>
                <w:rFonts w:hint="eastAsia"/>
                <w:color w:val="auto"/>
                <w:szCs w:val="21"/>
                <w:highlight w:val="none"/>
              </w:rPr>
              <w:t>.</w:t>
            </w:r>
            <w:r>
              <w:rPr>
                <w:rFonts w:hint="eastAsia"/>
                <w:color w:val="auto"/>
                <w:szCs w:val="21"/>
                <w:highlight w:val="none"/>
                <w:lang w:val="en-US" w:eastAsia="zh-CN"/>
              </w:rPr>
              <w:t>4</w:t>
            </w:r>
            <w:r>
              <w:rPr>
                <w:rFonts w:hint="eastAsia"/>
                <w:color w:val="auto"/>
                <w:szCs w:val="21"/>
                <w:highlight w:val="none"/>
              </w:rPr>
              <w:t>.2</w:t>
            </w:r>
          </w:p>
          <w:p>
            <w:pPr>
              <w:adjustRightInd w:val="0"/>
              <w:snapToGrid w:val="0"/>
              <w:jc w:val="center"/>
              <w:rPr>
                <w:rFonts w:hint="eastAsia" w:eastAsia="宋体"/>
                <w:color w:val="auto"/>
                <w:szCs w:val="21"/>
                <w:highlight w:val="none"/>
                <w:lang w:eastAsia="zh-CN"/>
              </w:rPr>
            </w:pPr>
            <w:r>
              <w:rPr>
                <w:color w:val="auto"/>
                <w:szCs w:val="21"/>
                <w:highlight w:val="none"/>
              </w:rPr>
              <w:t>参与学生</w:t>
            </w:r>
            <w:r>
              <w:rPr>
                <w:rFonts w:hint="eastAsia"/>
                <w:color w:val="auto"/>
                <w:szCs w:val="21"/>
                <w:highlight w:val="none"/>
              </w:rPr>
              <w:t>指导</w:t>
            </w:r>
            <w:r>
              <w:rPr>
                <w:rFonts w:hint="eastAsia"/>
                <w:color w:val="auto"/>
                <w:szCs w:val="21"/>
                <w:highlight w:val="none"/>
                <w:lang w:eastAsia="zh-CN"/>
              </w:rPr>
              <w:t>（</w:t>
            </w:r>
            <w:r>
              <w:rPr>
                <w:rFonts w:hint="eastAsia"/>
                <w:color w:val="auto"/>
                <w:szCs w:val="21"/>
                <w:highlight w:val="none"/>
                <w:lang w:val="en-US" w:eastAsia="zh-CN"/>
              </w:rPr>
              <w:t>2分</w:t>
            </w:r>
            <w:r>
              <w:rPr>
                <w:rFonts w:hint="eastAsia"/>
                <w:color w:val="auto"/>
                <w:szCs w:val="21"/>
                <w:highlight w:val="none"/>
                <w:lang w:eastAsia="zh-CN"/>
              </w:rPr>
              <w:t>）</w:t>
            </w:r>
          </w:p>
        </w:tc>
        <w:tc>
          <w:tcPr>
            <w:tcW w:w="5105" w:type="dxa"/>
            <w:noWrap w:val="0"/>
            <w:vAlign w:val="top"/>
          </w:tcPr>
          <w:p>
            <w:pPr>
              <w:keepNext w:val="0"/>
              <w:keepLines w:val="0"/>
              <w:widowControl/>
              <w:suppressLineNumbers w:val="0"/>
              <w:jc w:val="left"/>
              <w:textAlignment w:val="top"/>
              <w:rPr>
                <w:rFonts w:hint="eastAsia" w:ascii="仿宋" w:hAnsi="仿宋" w:eastAsia="仿宋" w:cs="仿宋"/>
                <w:color w:val="auto"/>
                <w:sz w:val="21"/>
                <w:szCs w:val="21"/>
              </w:rPr>
            </w:pPr>
            <w:r>
              <w:rPr>
                <w:rFonts w:hint="eastAsia" w:ascii="仿宋" w:hAnsi="仿宋" w:eastAsia="仿宋" w:cs="仿宋"/>
                <w:i w:val="0"/>
                <w:iCs w:val="0"/>
                <w:color w:val="000000"/>
                <w:kern w:val="0"/>
                <w:sz w:val="20"/>
                <w:szCs w:val="20"/>
                <w:u w:val="none"/>
                <w:lang w:val="en-US" w:eastAsia="zh-CN" w:bidi="ar"/>
              </w:rPr>
              <w:t>近五年专业教师参与指导本科生科研项目、学科竞赛、学术活动及各类比赛和创作的比例</w:t>
            </w:r>
          </w:p>
        </w:tc>
        <w:tc>
          <w:tcPr>
            <w:tcW w:w="570" w:type="dxa"/>
            <w:noWrap w:val="0"/>
            <w:vAlign w:val="top"/>
          </w:tcPr>
          <w:p>
            <w:pPr>
              <w:adjustRightInd w:val="0"/>
              <w:snapToGrid w:val="0"/>
              <w:rPr>
                <w:rFonts w:ascii="仿宋" w:hAnsi="仿宋" w:eastAsia="仿宋"/>
                <w:szCs w:val="21"/>
              </w:rPr>
            </w:pPr>
          </w:p>
        </w:tc>
        <w:tc>
          <w:tcPr>
            <w:tcW w:w="662"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color w:val="auto"/>
                <w:szCs w:val="21"/>
                <w:highlight w:val="none"/>
              </w:rPr>
            </w:pPr>
            <w:r>
              <w:rPr>
                <w:color w:val="auto"/>
                <w:szCs w:val="21"/>
                <w:highlight w:val="none"/>
              </w:rPr>
              <w:t>2</w:t>
            </w:r>
            <w:r>
              <w:rPr>
                <w:rFonts w:hint="eastAsia"/>
                <w:color w:val="auto"/>
                <w:szCs w:val="21"/>
                <w:highlight w:val="none"/>
              </w:rPr>
              <w:t>.</w:t>
            </w:r>
            <w:r>
              <w:rPr>
                <w:rFonts w:hint="eastAsia"/>
                <w:color w:val="auto"/>
                <w:szCs w:val="21"/>
                <w:highlight w:val="none"/>
                <w:lang w:val="en-US" w:eastAsia="zh-CN"/>
              </w:rPr>
              <w:t>4</w:t>
            </w:r>
            <w:r>
              <w:rPr>
                <w:rFonts w:hint="eastAsia"/>
                <w:color w:val="auto"/>
                <w:szCs w:val="21"/>
                <w:highlight w:val="none"/>
              </w:rPr>
              <w:t>.3</w:t>
            </w:r>
          </w:p>
          <w:p>
            <w:pPr>
              <w:adjustRightInd w:val="0"/>
              <w:snapToGrid w:val="0"/>
              <w:jc w:val="center"/>
              <w:rPr>
                <w:rFonts w:hint="eastAsia" w:eastAsia="宋体"/>
                <w:color w:val="auto"/>
                <w:szCs w:val="21"/>
                <w:highlight w:val="none"/>
                <w:lang w:eastAsia="zh-CN"/>
              </w:rPr>
            </w:pPr>
            <w:r>
              <w:rPr>
                <w:color w:val="auto"/>
                <w:szCs w:val="21"/>
                <w:highlight w:val="none"/>
              </w:rPr>
              <w:t>教</w:t>
            </w:r>
            <w:r>
              <w:rPr>
                <w:rFonts w:hint="eastAsia"/>
                <w:color w:val="auto"/>
                <w:szCs w:val="21"/>
                <w:highlight w:val="none"/>
              </w:rPr>
              <w:t>学</w:t>
            </w:r>
            <w:r>
              <w:rPr>
                <w:color w:val="auto"/>
                <w:szCs w:val="21"/>
                <w:highlight w:val="none"/>
              </w:rPr>
              <w:t>研</w:t>
            </w:r>
            <w:r>
              <w:rPr>
                <w:rFonts w:hint="eastAsia"/>
                <w:color w:val="auto"/>
                <w:szCs w:val="21"/>
                <w:highlight w:val="none"/>
              </w:rPr>
              <w:t>究</w:t>
            </w:r>
            <w:r>
              <w:rPr>
                <w:color w:val="auto"/>
                <w:szCs w:val="21"/>
                <w:highlight w:val="none"/>
              </w:rPr>
              <w:t>与</w:t>
            </w:r>
            <w:r>
              <w:rPr>
                <w:rFonts w:hint="eastAsia"/>
                <w:color w:val="auto"/>
                <w:szCs w:val="21"/>
                <w:highlight w:val="none"/>
              </w:rPr>
              <w:t>改革</w:t>
            </w:r>
            <w:r>
              <w:rPr>
                <w:rFonts w:hint="eastAsia"/>
                <w:color w:val="auto"/>
                <w:szCs w:val="21"/>
                <w:highlight w:val="none"/>
                <w:lang w:eastAsia="zh-CN"/>
              </w:rPr>
              <w:t>（</w:t>
            </w:r>
            <w:r>
              <w:rPr>
                <w:rFonts w:hint="eastAsia"/>
                <w:color w:val="auto"/>
                <w:szCs w:val="21"/>
                <w:highlight w:val="none"/>
                <w:lang w:val="en-US" w:eastAsia="zh-CN"/>
              </w:rPr>
              <w:t>2分</w:t>
            </w:r>
            <w:r>
              <w:rPr>
                <w:rFonts w:hint="eastAsia"/>
                <w:color w:val="auto"/>
                <w:szCs w:val="21"/>
                <w:highlight w:val="none"/>
                <w:lang w:eastAsia="zh-CN"/>
              </w:rPr>
              <w:t>）</w:t>
            </w:r>
          </w:p>
        </w:tc>
        <w:tc>
          <w:tcPr>
            <w:tcW w:w="5105" w:type="dxa"/>
            <w:noWrap w:val="0"/>
            <w:vAlign w:val="top"/>
          </w:tcPr>
          <w:p>
            <w:pPr>
              <w:keepNext w:val="0"/>
              <w:keepLines w:val="0"/>
              <w:widowControl/>
              <w:suppressLineNumbers w:val="0"/>
              <w:jc w:val="left"/>
              <w:textAlignment w:val="top"/>
              <w:rPr>
                <w:rFonts w:hint="eastAsia" w:ascii="仿宋" w:hAnsi="仿宋" w:eastAsia="仿宋" w:cs="仿宋"/>
                <w:color w:val="auto"/>
                <w:sz w:val="21"/>
                <w:szCs w:val="21"/>
              </w:rPr>
            </w:pPr>
            <w:r>
              <w:rPr>
                <w:rFonts w:hint="eastAsia" w:ascii="仿宋" w:hAnsi="仿宋" w:eastAsia="仿宋" w:cs="仿宋"/>
                <w:i w:val="0"/>
                <w:iCs w:val="0"/>
                <w:color w:val="000000"/>
                <w:kern w:val="0"/>
                <w:sz w:val="20"/>
                <w:szCs w:val="20"/>
                <w:u w:val="none"/>
                <w:lang w:val="en-US" w:eastAsia="zh-CN" w:bidi="ar"/>
              </w:rPr>
              <w:t>近五年专业教师参与各类教改项目、发表教学论文、出版教材的比例</w:t>
            </w:r>
          </w:p>
        </w:tc>
        <w:tc>
          <w:tcPr>
            <w:tcW w:w="570" w:type="dxa"/>
            <w:noWrap w:val="0"/>
            <w:vAlign w:val="top"/>
          </w:tcPr>
          <w:p>
            <w:pPr>
              <w:adjustRightInd w:val="0"/>
              <w:snapToGrid w:val="0"/>
              <w:rPr>
                <w:rFonts w:ascii="仿宋" w:hAnsi="仿宋" w:eastAsia="仿宋"/>
                <w:szCs w:val="21"/>
              </w:rPr>
            </w:pPr>
          </w:p>
        </w:tc>
        <w:tc>
          <w:tcPr>
            <w:tcW w:w="662"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8"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896" w:type="dxa"/>
            <w:gridSpan w:val="4"/>
            <w:noWrap w:val="0"/>
            <w:vAlign w:val="center"/>
          </w:tcPr>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896" w:type="dxa"/>
            <w:gridSpan w:val="4"/>
            <w:noWrap w:val="0"/>
            <w:vAlign w:val="center"/>
          </w:tcPr>
          <w:p>
            <w:pPr>
              <w:adjustRightInd w:val="0"/>
              <w:snapToGrid w:val="0"/>
            </w:pPr>
          </w:p>
          <w:p>
            <w:pPr>
              <w:pStyle w:val="7"/>
            </w:pPr>
          </w:p>
          <w:p/>
          <w:p>
            <w:pPr>
              <w:pStyle w:val="7"/>
            </w:pPr>
          </w:p>
        </w:tc>
      </w:tr>
    </w:tbl>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92"/>
        <w:gridCol w:w="5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92"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40"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92" w:type="dxa"/>
            <w:vMerge w:val="continue"/>
            <w:noWrap w:val="0"/>
            <w:vAlign w:val="center"/>
          </w:tcPr>
          <w:p>
            <w:pPr>
              <w:adjustRightInd w:val="0"/>
              <w:snapToGrid w:val="0"/>
              <w:jc w:val="center"/>
            </w:pPr>
          </w:p>
        </w:tc>
        <w:tc>
          <w:tcPr>
            <w:tcW w:w="563"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77"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76" w:type="dxa"/>
            <w:vMerge w:val="restart"/>
            <w:noWrap w:val="0"/>
            <w:vAlign w:val="center"/>
          </w:tcPr>
          <w:p>
            <w:pPr>
              <w:adjustRightInd w:val="0"/>
              <w:snapToGrid w:val="0"/>
              <w:jc w:val="center"/>
              <w:rPr>
                <w:rFonts w:hint="eastAsia"/>
                <w:szCs w:val="21"/>
                <w:lang w:val="en-US" w:eastAsia="zh-CN"/>
              </w:rPr>
            </w:pPr>
            <w:r>
              <w:rPr>
                <w:szCs w:val="21"/>
              </w:rPr>
              <w:t>2</w:t>
            </w:r>
            <w:r>
              <w:rPr>
                <w:rFonts w:hint="eastAsia"/>
                <w:szCs w:val="21"/>
              </w:rPr>
              <w:t>.</w:t>
            </w:r>
            <w:r>
              <w:rPr>
                <w:rFonts w:hint="eastAsia"/>
                <w:szCs w:val="21"/>
                <w:lang w:val="en-US" w:eastAsia="zh-CN"/>
              </w:rPr>
              <w:t>5</w:t>
            </w:r>
          </w:p>
          <w:p>
            <w:pPr>
              <w:adjustRightInd w:val="0"/>
              <w:snapToGrid w:val="0"/>
              <w:jc w:val="center"/>
              <w:rPr>
                <w:szCs w:val="21"/>
              </w:rPr>
            </w:pPr>
            <w:r>
              <w:rPr>
                <w:rFonts w:hint="eastAsia" w:ascii="Times New Roman" w:hAnsi="Times New Roman" w:eastAsia="宋体" w:cs="Times New Roman"/>
                <w:szCs w:val="21"/>
                <w:lang w:val="en-US" w:eastAsia="zh-CN"/>
              </w:rPr>
              <w:t>基层教学组织建设（4分）</w:t>
            </w:r>
          </w:p>
        </w:tc>
        <w:tc>
          <w:tcPr>
            <w:tcW w:w="1559" w:type="dxa"/>
            <w:noWrap w:val="0"/>
            <w:vAlign w:val="center"/>
          </w:tcPr>
          <w:p>
            <w:pPr>
              <w:adjustRightInd w:val="0"/>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2.5.1</w:t>
            </w:r>
          </w:p>
          <w:p>
            <w:pPr>
              <w:adjustRightInd w:val="0"/>
              <w:snapToGrid w:val="0"/>
              <w:jc w:val="center"/>
              <w:rPr>
                <w:rFonts w:hint="eastAsia" w:ascii="仿宋" w:hAnsi="仿宋" w:eastAsia="宋体" w:cs="仿宋"/>
                <w:color w:val="0000FF"/>
                <w:sz w:val="21"/>
                <w:szCs w:val="21"/>
                <w:highlight w:val="none"/>
                <w:lang w:eastAsia="zh-CN"/>
              </w:rPr>
            </w:pPr>
            <w:r>
              <w:rPr>
                <w:rFonts w:hint="eastAsia" w:ascii="Times New Roman" w:hAnsi="Times New Roman" w:eastAsia="宋体" w:cs="Times New Roman"/>
                <w:color w:val="auto"/>
                <w:szCs w:val="21"/>
                <w:highlight w:val="none"/>
              </w:rPr>
              <w:t>基层教学组织建设与运行情况</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2分</w:t>
            </w:r>
            <w:r>
              <w:rPr>
                <w:rFonts w:hint="eastAsia" w:ascii="Times New Roman" w:hAnsi="Times New Roman" w:eastAsia="宋体" w:cs="Times New Roman"/>
                <w:color w:val="auto"/>
                <w:szCs w:val="21"/>
                <w:highlight w:val="none"/>
                <w:lang w:eastAsia="zh-CN"/>
              </w:rPr>
              <w:t>）</w:t>
            </w:r>
          </w:p>
        </w:tc>
        <w:tc>
          <w:tcPr>
            <w:tcW w:w="4992" w:type="dxa"/>
            <w:noWrap w:val="0"/>
            <w:vAlign w:val="center"/>
          </w:tcPr>
          <w:p>
            <w:pPr>
              <w:adjustRightInd w:val="0"/>
              <w:snapToGrid w:val="0"/>
              <w:spacing w:line="240" w:lineRule="exact"/>
              <w:rPr>
                <w:rFonts w:hint="eastAsia" w:ascii="仿宋" w:hAnsi="仿宋" w:eastAsia="仿宋" w:cs="仿宋"/>
                <w:sz w:val="21"/>
                <w:szCs w:val="21"/>
              </w:rPr>
            </w:pPr>
            <w:r>
              <w:rPr>
                <w:rFonts w:hint="eastAsia" w:ascii="仿宋" w:hAnsi="仿宋" w:eastAsia="仿宋" w:cs="仿宋"/>
                <w:sz w:val="21"/>
                <w:szCs w:val="21"/>
              </w:rPr>
              <w:t>主要考查教研室制度文件建设情况，包括发展规划、工作条例、教研室主任职责、学期（学年）工作计划和总结等材料</w:t>
            </w:r>
          </w:p>
        </w:tc>
        <w:tc>
          <w:tcPr>
            <w:tcW w:w="563"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A</w:t>
            </w:r>
          </w:p>
        </w:tc>
        <w:tc>
          <w:tcPr>
            <w:tcW w:w="677"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2.5.2</w:t>
            </w:r>
          </w:p>
          <w:p>
            <w:pPr>
              <w:adjustRightInd w:val="0"/>
              <w:snapToGrid w:val="0"/>
              <w:jc w:val="center"/>
              <w:rPr>
                <w:rFonts w:hint="eastAsia" w:ascii="仿宋" w:hAnsi="仿宋" w:eastAsia="宋体" w:cs="仿宋"/>
                <w:color w:val="0000FF"/>
                <w:sz w:val="21"/>
                <w:szCs w:val="21"/>
                <w:highlight w:val="none"/>
                <w:lang w:eastAsia="zh-CN"/>
              </w:rPr>
            </w:pPr>
            <w:r>
              <w:rPr>
                <w:rFonts w:hint="eastAsia" w:ascii="Times New Roman" w:hAnsi="Times New Roman" w:eastAsia="宋体" w:cs="Times New Roman"/>
                <w:color w:val="auto"/>
                <w:szCs w:val="21"/>
                <w:highlight w:val="none"/>
              </w:rPr>
              <w:t>教育教学研究活动开展情况及成效</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2分</w:t>
            </w:r>
            <w:r>
              <w:rPr>
                <w:rFonts w:hint="eastAsia" w:ascii="Times New Roman" w:hAnsi="Times New Roman" w:eastAsia="宋体" w:cs="Times New Roman"/>
                <w:color w:val="auto"/>
                <w:szCs w:val="21"/>
                <w:highlight w:val="none"/>
                <w:lang w:eastAsia="zh-CN"/>
              </w:rPr>
              <w:t>）</w:t>
            </w:r>
          </w:p>
        </w:tc>
        <w:tc>
          <w:tcPr>
            <w:tcW w:w="4992" w:type="dxa"/>
            <w:noWrap w:val="0"/>
            <w:vAlign w:val="center"/>
          </w:tcPr>
          <w:p>
            <w:pPr>
              <w:adjustRightInd w:val="0"/>
              <w:snapToGrid w:val="0"/>
              <w:spacing w:line="240" w:lineRule="exact"/>
              <w:rPr>
                <w:rFonts w:hint="eastAsia" w:ascii="仿宋" w:hAnsi="仿宋" w:eastAsia="仿宋" w:cs="仿宋"/>
                <w:sz w:val="21"/>
                <w:szCs w:val="21"/>
              </w:rPr>
            </w:pPr>
            <w:r>
              <w:rPr>
                <w:rFonts w:hint="eastAsia" w:ascii="仿宋" w:hAnsi="仿宋" w:eastAsia="仿宋" w:cs="仿宋"/>
                <w:sz w:val="21"/>
                <w:szCs w:val="21"/>
              </w:rPr>
              <w:t>考查教研室的集体研讨制度，包括集体备课、教学研讨、传帮带制度的具体执行和落实情况；教研室发挥团队作用，支持教师参加各类教学技能和水平竞赛，成效显著。</w:t>
            </w:r>
          </w:p>
        </w:tc>
        <w:tc>
          <w:tcPr>
            <w:tcW w:w="563" w:type="dxa"/>
            <w:noWrap w:val="0"/>
            <w:vAlign w:val="top"/>
          </w:tcPr>
          <w:p>
            <w:pPr>
              <w:adjustRightInd w:val="0"/>
              <w:snapToGrid w:val="0"/>
              <w:rPr>
                <w:rFonts w:ascii="仿宋" w:hAnsi="仿宋" w:eastAsia="仿宋"/>
                <w:szCs w:val="21"/>
              </w:rPr>
            </w:pPr>
          </w:p>
        </w:tc>
        <w:tc>
          <w:tcPr>
            <w:tcW w:w="677"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3"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sz w:val="24"/>
                <w:szCs w:val="24"/>
                <w:highlight w:val="none"/>
              </w:rPr>
            </w:pPr>
            <w:r>
              <w:rPr>
                <w:rFonts w:hint="eastAsia" w:ascii="宋体" w:hAnsi="宋体" w:cs="宋体"/>
                <w:sz w:val="24"/>
                <w:szCs w:val="24"/>
                <w:lang w:val="en-US" w:eastAsia="zh-CN"/>
              </w:rPr>
              <w:t>2.5.1</w:t>
            </w:r>
            <w:r>
              <w:rPr>
                <w:rFonts w:hint="eastAsia" w:ascii="Times New Roman" w:hAnsi="Times New Roman" w:eastAsia="宋体" w:cs="Times New Roman"/>
                <w:color w:val="auto"/>
                <w:sz w:val="24"/>
                <w:szCs w:val="24"/>
                <w:highlight w:val="none"/>
              </w:rPr>
              <w:t>基层教学组织建设与运行情况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教研室的设置和组成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舞蹈教研室成立于2013年，现有专职教师4人，</w:t>
            </w:r>
            <w:r>
              <w:rPr>
                <w:rFonts w:hint="eastAsia" w:ascii="宋体" w:hAnsi="宋体" w:eastAsia="宋体" w:cs="宋体"/>
                <w:sz w:val="24"/>
                <w:szCs w:val="24"/>
              </w:rPr>
              <w:t>设</w:t>
            </w:r>
            <w:r>
              <w:rPr>
                <w:rFonts w:hint="eastAsia" w:ascii="宋体" w:hAnsi="宋体" w:cs="宋体"/>
                <w:sz w:val="24"/>
                <w:szCs w:val="24"/>
                <w:lang w:val="en-US" w:eastAsia="zh-CN"/>
              </w:rPr>
              <w:t>教研室</w:t>
            </w:r>
            <w:r>
              <w:rPr>
                <w:rFonts w:hint="eastAsia" w:ascii="宋体" w:hAnsi="宋体" w:eastAsia="宋体" w:cs="宋体"/>
                <w:sz w:val="24"/>
                <w:szCs w:val="24"/>
              </w:rPr>
              <w:t>主任</w:t>
            </w:r>
            <w:r>
              <w:rPr>
                <w:rFonts w:hint="eastAsia" w:ascii="宋体" w:hAnsi="宋体" w:cs="宋体"/>
                <w:sz w:val="24"/>
                <w:szCs w:val="24"/>
                <w:lang w:val="en-US" w:eastAsia="zh-CN"/>
              </w:rPr>
              <w:t>1</w:t>
            </w:r>
            <w:r>
              <w:rPr>
                <w:rFonts w:hint="eastAsia" w:ascii="宋体" w:hAnsi="宋体" w:eastAsia="宋体" w:cs="宋体"/>
                <w:sz w:val="24"/>
                <w:szCs w:val="24"/>
              </w:rPr>
              <w:t>人</w:t>
            </w:r>
            <w:r>
              <w:rPr>
                <w:rFonts w:hint="eastAsia" w:ascii="宋体" w:hAnsi="宋体" w:eastAsia="宋体" w:cs="宋体"/>
                <w:sz w:val="24"/>
                <w:szCs w:val="24"/>
                <w:lang w:val="en-US" w:eastAsia="zh-CN"/>
              </w:rPr>
              <w:t>。</w:t>
            </w:r>
            <w:r>
              <w:rPr>
                <w:rFonts w:hint="eastAsia" w:ascii="宋体" w:hAnsi="宋体" w:eastAsia="宋体" w:cs="宋体"/>
                <w:sz w:val="24"/>
                <w:szCs w:val="24"/>
              </w:rPr>
              <w:t>在系（部）主任的领导下，</w:t>
            </w:r>
            <w:r>
              <w:rPr>
                <w:rFonts w:hint="eastAsia" w:ascii="宋体" w:hAnsi="宋体" w:eastAsia="宋体" w:cs="宋体"/>
                <w:sz w:val="24"/>
                <w:szCs w:val="24"/>
                <w:lang w:val="en-US" w:eastAsia="zh-CN"/>
              </w:rPr>
              <w:t>主要负责与舞蹈相关的教学、科研、实践等工作的组织与实施。目前，本专业由中青年教师主讲和带教。中青年教师具有团队协作、教学热情高，具备奉献精神及教学科研水平。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教研室制度建设</w:t>
            </w:r>
            <w:r>
              <w:rPr>
                <w:rFonts w:hint="eastAsia" w:ascii="宋体" w:hAnsi="宋体" w:cs="宋体"/>
                <w:sz w:val="24"/>
                <w:szCs w:val="24"/>
                <w:lang w:val="en-US" w:eastAsia="zh-CN"/>
              </w:rPr>
              <w:t>与运行情况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学院根据学科发展和教学管理与研究的需要，制定了多项教研室制度文件，其中包括《教研室教研活动制度》，《教研室工作条例》，《教研室主任职责》等，教研室制度文件建设基本健全，教研室主任职责分工明确，教研室工作条例明晰，年度工作计划明确。每学期根据学院教学任务合理安排教研室活动计划，组织常规教学检查，教学研讨，教学实践活动，按时完成学期教研室总结并上交总结材料。</w:t>
            </w:r>
            <w:r>
              <w:rPr>
                <w:rFonts w:hint="eastAsia" w:ascii="宋体" w:hAnsi="宋体" w:cs="宋体"/>
                <w:sz w:val="24"/>
                <w:szCs w:val="24"/>
                <w:lang w:val="en-US" w:eastAsia="zh-CN"/>
              </w:rPr>
              <w:t>定</w:t>
            </w:r>
            <w:r>
              <w:rPr>
                <w:rFonts w:hint="eastAsia" w:ascii="宋体" w:hAnsi="宋体" w:eastAsia="宋体" w:cs="宋体"/>
                <w:sz w:val="24"/>
                <w:szCs w:val="24"/>
                <w:lang w:val="en-US" w:eastAsia="zh-CN"/>
              </w:rPr>
              <w:t>期开展教学研讨活动（每学期均超过4次），每学年开学之前组织教学文件的准备及上传，教研室主任对教案进行审核，并对出现的问题进行整改，组织获批优秀案例和教学成果奖的教师进行经验分享；教研室发展计划未来几年重点放在提升青年教师学历及职称提升两个方面。鼓励老师外出进修、学习、提升学历，同时形成互助小组，推动各项成</w:t>
            </w:r>
            <w:r>
              <w:rPr>
                <w:rFonts w:hint="eastAsia" w:ascii="宋体" w:hAnsi="宋体" w:eastAsia="宋体" w:cs="宋体"/>
                <w:b w:val="0"/>
                <w:bCs w:val="0"/>
                <w:sz w:val="24"/>
                <w:szCs w:val="24"/>
                <w:lang w:val="en-US" w:eastAsia="zh-CN"/>
              </w:rPr>
              <w:t>果的产出。</w:t>
            </w:r>
          </w:p>
          <w:p>
            <w:pPr>
              <w:pStyle w:val="2"/>
              <w:pageBreakBefore w:val="0"/>
              <w:kinsoku/>
              <w:wordWrap/>
              <w:overflowPunct/>
              <w:topLinePunct w:val="0"/>
              <w:autoSpaceDE/>
              <w:autoSpaceDN/>
              <w:bidi w:val="0"/>
              <w:spacing w:line="360" w:lineRule="auto"/>
              <w:ind w:left="0" w:leftChars="0" w:firstLine="0" w:firstLineChars="0"/>
              <w:textAlignment w:val="auto"/>
              <w:rPr>
                <w:rFonts w:hint="default"/>
                <w:b w:val="0"/>
                <w:bCs w:val="0"/>
                <w:sz w:val="24"/>
                <w:szCs w:val="24"/>
                <w:lang w:val="en-US" w:eastAsia="zh-CN"/>
              </w:rPr>
            </w:pPr>
            <w:r>
              <w:rPr>
                <w:rFonts w:hint="eastAsia" w:cs="宋体"/>
                <w:b w:val="0"/>
                <w:bCs w:val="0"/>
                <w:sz w:val="24"/>
                <w:szCs w:val="24"/>
                <w:lang w:val="en-US" w:eastAsia="zh-CN"/>
              </w:rPr>
              <w:t>2.5.2</w:t>
            </w:r>
            <w:r>
              <w:rPr>
                <w:rFonts w:hint="eastAsia" w:ascii="Times New Roman" w:hAnsi="Times New Roman" w:eastAsia="宋体" w:cs="Times New Roman"/>
                <w:b w:val="0"/>
                <w:bCs w:val="0"/>
                <w:color w:val="auto"/>
                <w:sz w:val="24"/>
                <w:szCs w:val="24"/>
                <w:highlight w:val="none"/>
              </w:rPr>
              <w:t>教育教学研究活动开展情况及成效</w:t>
            </w:r>
          </w:p>
          <w:p>
            <w:pPr>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特色活动的开展</w:t>
            </w:r>
          </w:p>
          <w:p>
            <w:pPr>
              <w:pageBreakBefore w:val="0"/>
              <w:kinsoku/>
              <w:wordWrap/>
              <w:overflowPunct/>
              <w:topLinePunct w:val="0"/>
              <w:autoSpaceDE/>
              <w:autoSpaceDN/>
              <w:bidi w:val="0"/>
              <w:spacing w:line="360" w:lineRule="auto"/>
              <w:ind w:firstLine="480" w:firstLineChars="200"/>
              <w:textAlignment w:val="auto"/>
              <w:rPr>
                <w:rFonts w:hint="eastAsia"/>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师生同台演出</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是舞蹈</w:t>
            </w:r>
            <w:r>
              <w:rPr>
                <w:rFonts w:hint="eastAsia" w:ascii="宋体" w:hAnsi="宋体" w:cs="宋体"/>
                <w:sz w:val="24"/>
                <w:szCs w:val="24"/>
                <w:lang w:val="en-US" w:eastAsia="zh-CN"/>
              </w:rPr>
              <w:t>教研室自</w:t>
            </w:r>
            <w:r>
              <w:rPr>
                <w:rFonts w:hint="eastAsia" w:ascii="宋体" w:hAnsi="宋体" w:eastAsia="宋体" w:cs="宋体"/>
                <w:sz w:val="24"/>
                <w:szCs w:val="24"/>
                <w:lang w:val="en-US" w:eastAsia="zh-CN"/>
              </w:rPr>
              <w:t>2019年开始打造的</w:t>
            </w:r>
            <w:r>
              <w:rPr>
                <w:rFonts w:hint="eastAsia" w:ascii="宋体" w:hAnsi="宋体" w:cs="宋体"/>
                <w:sz w:val="24"/>
                <w:szCs w:val="24"/>
                <w:lang w:val="en-US" w:eastAsia="zh-CN"/>
              </w:rPr>
              <w:t>舞蹈实践活动</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目的是为我系师生提供创作、表演的平台，推动高质量舞蹈作品的产出，提高学生参与实践活动的积极性。</w:t>
            </w:r>
            <w:r>
              <w:rPr>
                <w:rFonts w:hint="eastAsia" w:ascii="宋体" w:hAnsi="宋体" w:eastAsia="宋体" w:cs="宋体"/>
                <w:sz w:val="24"/>
                <w:szCs w:val="24"/>
                <w:lang w:val="en-US" w:eastAsia="zh-CN"/>
              </w:rPr>
              <w:t>通过三年的实践，已成为</w:t>
            </w:r>
            <w:r>
              <w:rPr>
                <w:rFonts w:hint="eastAsia" w:ascii="宋体" w:hAnsi="宋体" w:cs="宋体"/>
                <w:sz w:val="24"/>
                <w:szCs w:val="24"/>
                <w:lang w:val="en-US" w:eastAsia="zh-CN"/>
              </w:rPr>
              <w:t>舞蹈</w:t>
            </w:r>
            <w:r>
              <w:rPr>
                <w:rFonts w:hint="eastAsia" w:ascii="宋体" w:hAnsi="宋体" w:eastAsia="宋体" w:cs="宋体"/>
                <w:sz w:val="24"/>
                <w:szCs w:val="24"/>
                <w:lang w:val="en-US" w:eastAsia="zh-CN"/>
              </w:rPr>
              <w:t>教研室开展的特色活动。师生同台专场分为课堂组合</w:t>
            </w:r>
            <w:r>
              <w:rPr>
                <w:rFonts w:hint="eastAsia" w:ascii="宋体" w:hAnsi="宋体" w:cs="宋体"/>
                <w:sz w:val="24"/>
                <w:szCs w:val="24"/>
                <w:lang w:val="en-US" w:eastAsia="zh-CN"/>
              </w:rPr>
              <w:t>展示</w:t>
            </w:r>
            <w:r>
              <w:rPr>
                <w:rFonts w:hint="eastAsia" w:ascii="宋体" w:hAnsi="宋体" w:eastAsia="宋体" w:cs="宋体"/>
                <w:sz w:val="24"/>
                <w:szCs w:val="24"/>
                <w:lang w:val="en-US" w:eastAsia="zh-CN"/>
              </w:rPr>
              <w:t>及舞蹈剧目两个部分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历年表演内容</w:t>
            </w:r>
            <w:r>
              <w:rPr>
                <w:rFonts w:hint="eastAsia" w:ascii="宋体" w:hAnsi="宋体" w:cs="宋体"/>
                <w:sz w:val="24"/>
                <w:szCs w:val="24"/>
                <w:lang w:val="en-US" w:eastAsia="zh-CN"/>
              </w:rPr>
              <w:t>涉及古典舞、民间舞、现当代舞蹈等</w:t>
            </w:r>
            <w:r>
              <w:rPr>
                <w:rFonts w:hint="eastAsia" w:ascii="宋体" w:hAnsi="宋体" w:eastAsia="宋体" w:cs="宋体"/>
                <w:sz w:val="24"/>
                <w:szCs w:val="24"/>
                <w:lang w:val="en-US" w:eastAsia="zh-CN"/>
              </w:rPr>
              <w:t>。</w:t>
            </w:r>
          </w:p>
          <w:p>
            <w:pPr>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院校各级各类演出</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社会实践</w:t>
            </w:r>
          </w:p>
          <w:p>
            <w:pPr>
              <w:pageBreakBefore w:val="0"/>
              <w:widowControl w:val="0"/>
              <w:numPr>
                <w:ilvl w:val="0"/>
                <w:numId w:val="0"/>
              </w:numPr>
              <w:kinsoku/>
              <w:wordWrap/>
              <w:overflowPunct/>
              <w:topLinePunct w:val="0"/>
              <w:autoSpaceDE/>
              <w:autoSpaceDN/>
              <w:bidi w:val="0"/>
              <w:spacing w:line="360" w:lineRule="auto"/>
              <w:ind w:firstLine="240" w:firstLineChars="1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教研室主动与校（院）各部门积极联络配合，先后与大学团委、工会</w:t>
            </w:r>
            <w:r>
              <w:rPr>
                <w:rFonts w:hint="eastAsia" w:ascii="宋体" w:hAnsi="宋体" w:cs="宋体"/>
                <w:sz w:val="24"/>
                <w:szCs w:val="24"/>
                <w:lang w:val="en-US" w:eastAsia="zh-CN"/>
              </w:rPr>
              <w:t>、宣传部</w:t>
            </w:r>
            <w:r>
              <w:rPr>
                <w:rFonts w:hint="eastAsia" w:ascii="宋体" w:hAnsi="宋体" w:eastAsia="宋体" w:cs="宋体"/>
                <w:sz w:val="24"/>
                <w:szCs w:val="24"/>
                <w:lang w:val="en-US" w:eastAsia="zh-CN"/>
              </w:rPr>
              <w:t>等部门合作，完成校（院）各级各类演出。组织学生积极参与由中国舞蹈家协会、兵团舞蹈家协会、石河子市舞</w:t>
            </w:r>
            <w:r>
              <w:rPr>
                <w:rFonts w:hint="eastAsia" w:ascii="宋体" w:hAnsi="宋体" w:cs="宋体"/>
                <w:sz w:val="24"/>
                <w:szCs w:val="24"/>
                <w:lang w:val="en-US" w:eastAsia="zh-CN"/>
              </w:rPr>
              <w:t>蹈</w:t>
            </w:r>
            <w:r>
              <w:rPr>
                <w:rFonts w:hint="eastAsia" w:ascii="宋体" w:hAnsi="宋体" w:eastAsia="宋体" w:cs="宋体"/>
                <w:sz w:val="24"/>
                <w:szCs w:val="24"/>
                <w:lang w:val="en-US" w:eastAsia="zh-CN"/>
              </w:rPr>
              <w:t>家协会举办的各类文艺演出</w:t>
            </w:r>
            <w:r>
              <w:rPr>
                <w:rFonts w:hint="eastAsia" w:ascii="宋体" w:hAnsi="宋体" w:cs="宋体"/>
                <w:sz w:val="24"/>
                <w:szCs w:val="24"/>
                <w:lang w:val="en-US" w:eastAsia="zh-CN"/>
              </w:rPr>
              <w:t>及社会实践活动。</w:t>
            </w:r>
          </w:p>
          <w:p>
            <w:pPr>
              <w:pageBreakBefore w:val="0"/>
              <w:numPr>
                <w:ilvl w:val="0"/>
                <w:numId w:val="0"/>
              </w:numPr>
              <w:kinsoku/>
              <w:wordWrap/>
              <w:overflowPunct/>
              <w:topLinePunct w:val="0"/>
              <w:autoSpaceDE/>
              <w:autoSpaceDN/>
              <w:bidi w:val="0"/>
              <w:spacing w:line="360" w:lineRule="auto"/>
              <w:ind w:leftChars="0" w:firstLine="480" w:firstLineChars="200"/>
              <w:textAlignment w:val="auto"/>
              <w:rPr>
                <w:rFonts w:hint="eastAsia"/>
                <w:sz w:val="24"/>
                <w:szCs w:val="24"/>
                <w:lang w:val="en-US" w:eastAsia="zh-CN"/>
              </w:rPr>
            </w:pPr>
            <w:r>
              <w:rPr>
                <w:rFonts w:hint="eastAsia"/>
                <w:sz w:val="24"/>
                <w:szCs w:val="24"/>
                <w:lang w:val="en-US" w:eastAsia="zh-CN"/>
              </w:rPr>
              <w:t>（3）组织参加专业竞赛</w:t>
            </w:r>
          </w:p>
          <w:p>
            <w:pPr>
              <w:pStyle w:val="2"/>
              <w:pageBreakBefore w:val="0"/>
              <w:kinsoku/>
              <w:wordWrap/>
              <w:overflowPunct/>
              <w:topLinePunct w:val="0"/>
              <w:autoSpaceDE/>
              <w:autoSpaceDN/>
              <w:bidi w:val="0"/>
              <w:spacing w:line="360" w:lineRule="auto"/>
              <w:textAlignment w:val="auto"/>
              <w:rPr>
                <w:rFonts w:hint="default"/>
                <w:b w:val="0"/>
                <w:bCs w:val="0"/>
                <w:sz w:val="24"/>
                <w:szCs w:val="24"/>
                <w:lang w:val="en-US" w:eastAsia="zh-CN"/>
              </w:rPr>
            </w:pPr>
            <w:r>
              <w:rPr>
                <w:rFonts w:hint="eastAsia"/>
                <w:b w:val="0"/>
                <w:bCs w:val="0"/>
                <w:sz w:val="24"/>
                <w:szCs w:val="24"/>
                <w:lang w:val="en-US" w:eastAsia="zh-CN"/>
              </w:rPr>
              <w:t>舞蹈教研室近五年，积极组织学生参与各级各类学科竞赛。根据相关赛事、展演的举办时间，提前动员教师、学生积极参与。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rPr>
                <w:kern w:val="0"/>
              </w:rPr>
            </w:pPr>
          </w:p>
          <w:p>
            <w:pPr>
              <w:pStyle w:val="7"/>
              <w:rPr>
                <w:kern w:val="0"/>
              </w:rPr>
            </w:pPr>
          </w:p>
          <w:p>
            <w:pPr>
              <w:rPr>
                <w:kern w:val="0"/>
              </w:rPr>
            </w:pPr>
          </w:p>
          <w:p>
            <w:pPr>
              <w:pStyle w:val="2"/>
              <w:rPr>
                <w:kern w:val="0"/>
              </w:rPr>
            </w:pPr>
          </w:p>
          <w:p>
            <w:pPr>
              <w:rPr>
                <w:kern w:val="0"/>
              </w:rPr>
            </w:pPr>
          </w:p>
          <w:p>
            <w:pPr>
              <w:pStyle w:val="2"/>
              <w:rPr>
                <w:kern w:val="0"/>
              </w:rPr>
            </w:pPr>
          </w:p>
          <w:p>
            <w:pPr>
              <w:rPr>
                <w:kern w:val="0"/>
              </w:rPr>
            </w:pPr>
          </w:p>
          <w:p>
            <w:pPr>
              <w:pStyle w:val="2"/>
              <w:rPr>
                <w:kern w:val="0"/>
              </w:rPr>
            </w:pPr>
          </w:p>
          <w:p>
            <w:pPr>
              <w:rPr>
                <w:kern w:val="0"/>
              </w:rPr>
            </w:pPr>
          </w:p>
          <w:p>
            <w:pPr>
              <w:pStyle w:val="2"/>
              <w:rPr>
                <w:kern w:val="0"/>
              </w:rPr>
            </w:pPr>
          </w:p>
          <w:p>
            <w:pPr>
              <w:rPr>
                <w:kern w:val="0"/>
              </w:rPr>
            </w:pPr>
          </w:p>
          <w:p>
            <w:pPr>
              <w:pStyle w:val="2"/>
            </w:pPr>
          </w:p>
          <w:p>
            <w:pPr>
              <w:rPr>
                <w:kern w:val="0"/>
              </w:rPr>
            </w:pPr>
          </w:p>
          <w:p>
            <w:pPr>
              <w:pStyle w:val="7"/>
              <w:rPr>
                <w:kern w:val="0"/>
              </w:rPr>
            </w:pPr>
          </w:p>
        </w:tc>
      </w:tr>
    </w:tbl>
    <w:p>
      <w:pPr>
        <w:adjustRightInd w:val="0"/>
        <w:snapToGrid w:val="0"/>
        <w:jc w:val="center"/>
        <w:rPr>
          <w:rFonts w:hint="eastAsia"/>
          <w:b/>
          <w:szCs w:val="21"/>
        </w:rPr>
      </w:pPr>
      <w:r>
        <w:rPr>
          <w:rFonts w:hint="eastAsia"/>
          <w:b/>
          <w:szCs w:val="21"/>
        </w:rP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30"/>
        <w:gridCol w:w="562"/>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30"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02"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30" w:type="dxa"/>
            <w:vMerge w:val="continue"/>
            <w:noWrap w:val="0"/>
            <w:vAlign w:val="center"/>
          </w:tcPr>
          <w:p>
            <w:pPr>
              <w:adjustRightInd w:val="0"/>
              <w:snapToGrid w:val="0"/>
              <w:jc w:val="center"/>
            </w:pPr>
          </w:p>
        </w:tc>
        <w:tc>
          <w:tcPr>
            <w:tcW w:w="562"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40"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76" w:type="dxa"/>
            <w:vMerge w:val="restart"/>
            <w:noWrap w:val="0"/>
            <w:vAlign w:val="center"/>
          </w:tcPr>
          <w:p>
            <w:pPr>
              <w:adjustRightInd w:val="0"/>
              <w:snapToGrid w:val="0"/>
              <w:jc w:val="center"/>
              <w:rPr>
                <w:rFonts w:hint="eastAsia" w:eastAsia="宋体"/>
                <w:szCs w:val="21"/>
                <w:lang w:eastAsia="zh-CN"/>
              </w:rPr>
            </w:pPr>
            <w:r>
              <w:rPr>
                <w:szCs w:val="21"/>
              </w:rPr>
              <w:t>3</w:t>
            </w:r>
            <w:r>
              <w:rPr>
                <w:rFonts w:hint="eastAsia"/>
                <w:szCs w:val="21"/>
              </w:rPr>
              <w:t>.1教学条件</w:t>
            </w:r>
            <w:r>
              <w:rPr>
                <w:rFonts w:hint="eastAsia"/>
                <w:szCs w:val="21"/>
                <w:lang w:eastAsia="zh-CN"/>
              </w:rPr>
              <w:t>（</w:t>
            </w:r>
            <w:r>
              <w:rPr>
                <w:rFonts w:hint="eastAsia"/>
                <w:szCs w:val="21"/>
                <w:lang w:val="en-US" w:eastAsia="zh-CN"/>
              </w:rPr>
              <w:t>7分</w:t>
            </w:r>
            <w:r>
              <w:rPr>
                <w:rFonts w:hint="eastAsia"/>
                <w:szCs w:val="21"/>
                <w:lang w:eastAsia="zh-CN"/>
              </w:rPr>
              <w:t>）</w:t>
            </w:r>
          </w:p>
        </w:tc>
        <w:tc>
          <w:tcPr>
            <w:tcW w:w="1559" w:type="dxa"/>
            <w:noWrap w:val="0"/>
            <w:vAlign w:val="center"/>
          </w:tcPr>
          <w:p>
            <w:pPr>
              <w:adjustRightInd w:val="0"/>
              <w:snapToGrid w:val="0"/>
              <w:jc w:val="center"/>
              <w:rPr>
                <w:szCs w:val="21"/>
              </w:rPr>
            </w:pPr>
            <w:r>
              <w:rPr>
                <w:szCs w:val="21"/>
              </w:rPr>
              <w:t>3</w:t>
            </w:r>
            <w:r>
              <w:rPr>
                <w:rFonts w:hint="eastAsia"/>
                <w:szCs w:val="21"/>
              </w:rPr>
              <w:t>.1.1</w:t>
            </w:r>
          </w:p>
          <w:p>
            <w:pPr>
              <w:adjustRightInd w:val="0"/>
              <w:snapToGrid w:val="0"/>
              <w:jc w:val="center"/>
              <w:rPr>
                <w:rFonts w:hint="eastAsia" w:eastAsia="宋体"/>
                <w:szCs w:val="21"/>
                <w:lang w:eastAsia="zh-CN"/>
              </w:rPr>
            </w:pPr>
            <w:r>
              <w:rPr>
                <w:rFonts w:hint="eastAsia"/>
                <w:szCs w:val="21"/>
              </w:rPr>
              <w:t>实验室</w:t>
            </w:r>
            <w:r>
              <w:rPr>
                <w:szCs w:val="21"/>
              </w:rPr>
              <w:t>建设及管理</w:t>
            </w:r>
            <w:r>
              <w:rPr>
                <w:rFonts w:hint="eastAsia"/>
                <w:szCs w:val="21"/>
                <w:lang w:eastAsia="zh-CN"/>
              </w:rPr>
              <w:t>（</w:t>
            </w:r>
            <w:r>
              <w:rPr>
                <w:rFonts w:hint="eastAsia"/>
                <w:szCs w:val="21"/>
                <w:lang w:val="en-US" w:eastAsia="zh-CN"/>
              </w:rPr>
              <w:t>3分</w:t>
            </w:r>
            <w:r>
              <w:rPr>
                <w:rFonts w:hint="eastAsia"/>
                <w:szCs w:val="21"/>
                <w:lang w:eastAsia="zh-CN"/>
              </w:rPr>
              <w:t>）</w:t>
            </w:r>
          </w:p>
        </w:tc>
        <w:tc>
          <w:tcPr>
            <w:tcW w:w="5030" w:type="dxa"/>
            <w:noWrap w:val="0"/>
            <w:vAlign w:val="top"/>
          </w:tcPr>
          <w:p>
            <w:pPr>
              <w:keepNext w:val="0"/>
              <w:keepLines w:val="0"/>
              <w:widowControl/>
              <w:suppressLineNumbers w:val="0"/>
              <w:jc w:val="left"/>
              <w:textAlignment w:val="top"/>
              <w:rPr>
                <w:rFonts w:ascii="仿宋" w:hAnsi="仿宋" w:eastAsia="仿宋"/>
                <w:sz w:val="20"/>
                <w:szCs w:val="20"/>
              </w:rPr>
            </w:pPr>
            <w:r>
              <w:rPr>
                <w:rFonts w:hint="eastAsia" w:ascii="仿宋" w:hAnsi="仿宋" w:eastAsia="仿宋" w:cs="仿宋"/>
                <w:i w:val="0"/>
                <w:iCs w:val="0"/>
                <w:color w:val="000000"/>
                <w:kern w:val="0"/>
                <w:sz w:val="20"/>
                <w:szCs w:val="20"/>
                <w:u w:val="none"/>
                <w:lang w:val="en-US" w:eastAsia="zh-CN" w:bidi="ar"/>
              </w:rPr>
              <w:t>专业有完善的实验室管理制度；实验室生均面积、生均教学仪器设备值符合相关专业的国家标准</w:t>
            </w:r>
          </w:p>
        </w:tc>
        <w:tc>
          <w:tcPr>
            <w:tcW w:w="562"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B</w:t>
            </w:r>
          </w:p>
        </w:tc>
        <w:tc>
          <w:tcPr>
            <w:tcW w:w="640" w:type="dxa"/>
            <w:noWrap w:val="0"/>
            <w:vAlign w:val="center"/>
          </w:tcPr>
          <w:p>
            <w:pPr>
              <w:adjustRightInd w:val="0"/>
              <w:snapToGrid w:val="0"/>
              <w:jc w:val="center"/>
              <w:rPr>
                <w:rFonts w:hint="default" w:ascii="仿宋" w:hAnsi="仿宋" w:eastAsia="仿宋"/>
                <w:szCs w:val="21"/>
                <w:lang w:val="en-US" w:eastAsia="zh-CN"/>
              </w:rPr>
            </w:pPr>
            <w:r>
              <w:rPr>
                <w:rFonts w:hint="eastAsia" w:ascii="仿宋" w:hAnsi="仿宋" w:eastAsia="仿宋"/>
                <w:szCs w:val="21"/>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rPr>
            </w:pPr>
            <w:r>
              <w:rPr>
                <w:szCs w:val="21"/>
              </w:rPr>
              <w:t>3</w:t>
            </w:r>
            <w:r>
              <w:rPr>
                <w:rFonts w:hint="eastAsia"/>
                <w:szCs w:val="21"/>
              </w:rPr>
              <w:t>.1.2</w:t>
            </w:r>
          </w:p>
          <w:p>
            <w:pPr>
              <w:adjustRightInd w:val="0"/>
              <w:snapToGrid w:val="0"/>
              <w:jc w:val="center"/>
              <w:rPr>
                <w:rFonts w:hint="eastAsia" w:eastAsia="宋体"/>
                <w:szCs w:val="21"/>
                <w:lang w:eastAsia="zh-CN"/>
              </w:rPr>
            </w:pPr>
            <w:r>
              <w:rPr>
                <w:rFonts w:hint="eastAsia"/>
                <w:szCs w:val="21"/>
              </w:rPr>
              <w:t>实习</w:t>
            </w:r>
            <w:r>
              <w:rPr>
                <w:szCs w:val="21"/>
              </w:rPr>
              <w:t>实训</w:t>
            </w:r>
            <w:r>
              <w:rPr>
                <w:rFonts w:hint="eastAsia"/>
                <w:szCs w:val="21"/>
              </w:rPr>
              <w:t>基地建设</w:t>
            </w:r>
            <w:r>
              <w:rPr>
                <w:rFonts w:hint="eastAsia"/>
                <w:szCs w:val="21"/>
                <w:lang w:eastAsia="zh-CN"/>
              </w:rPr>
              <w:t>（</w:t>
            </w:r>
            <w:r>
              <w:rPr>
                <w:rFonts w:hint="eastAsia"/>
                <w:szCs w:val="21"/>
                <w:lang w:val="en-US" w:eastAsia="zh-CN"/>
              </w:rPr>
              <w:t>3分</w:t>
            </w:r>
            <w:r>
              <w:rPr>
                <w:rFonts w:hint="eastAsia"/>
                <w:szCs w:val="21"/>
                <w:lang w:eastAsia="zh-CN"/>
              </w:rPr>
              <w:t>）</w:t>
            </w:r>
          </w:p>
        </w:tc>
        <w:tc>
          <w:tcPr>
            <w:tcW w:w="5030" w:type="dxa"/>
            <w:noWrap w:val="0"/>
            <w:vAlign w:val="top"/>
          </w:tcPr>
          <w:p>
            <w:pPr>
              <w:keepNext w:val="0"/>
              <w:keepLines w:val="0"/>
              <w:widowControl/>
              <w:suppressLineNumbers w:val="0"/>
              <w:jc w:val="left"/>
              <w:textAlignment w:val="top"/>
              <w:rPr>
                <w:rFonts w:ascii="仿宋" w:hAnsi="仿宋" w:eastAsia="仿宋"/>
                <w:sz w:val="20"/>
                <w:szCs w:val="20"/>
              </w:rPr>
            </w:pPr>
            <w:r>
              <w:rPr>
                <w:rFonts w:hint="eastAsia" w:ascii="仿宋" w:hAnsi="仿宋" w:eastAsia="仿宋" w:cs="仿宋"/>
                <w:i w:val="0"/>
                <w:iCs w:val="0"/>
                <w:color w:val="000000"/>
                <w:kern w:val="0"/>
                <w:sz w:val="20"/>
                <w:szCs w:val="20"/>
                <w:u w:val="none"/>
                <w:lang w:val="en-US" w:eastAsia="zh-CN" w:bidi="ar"/>
              </w:rPr>
              <w:t>有稳定、充足的校内外实习、实训基地，长期稳定的校外实习实践基地数量不少于3个且有合作协议；面积和设施满足实践教学要求，利用率高；指导教师数量和业务能力符合实习、实训需求</w:t>
            </w:r>
          </w:p>
        </w:tc>
        <w:tc>
          <w:tcPr>
            <w:tcW w:w="562"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center"/>
          </w:tcPr>
          <w:p>
            <w:pPr>
              <w:adjustRightInd w:val="0"/>
              <w:snapToGrid w:val="0"/>
              <w:jc w:val="center"/>
              <w:rPr>
                <w:rFonts w:hint="default" w:ascii="仿宋" w:hAnsi="仿宋" w:eastAsia="仿宋"/>
                <w:szCs w:val="21"/>
                <w:lang w:val="en-US" w:eastAsia="zh-CN"/>
              </w:rPr>
            </w:pPr>
            <w:r>
              <w:rPr>
                <w:rFonts w:hint="eastAsia" w:ascii="仿宋" w:hAnsi="仿宋" w:eastAsia="仿宋"/>
                <w:szCs w:val="21"/>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rPr>
            </w:pPr>
            <w:r>
              <w:rPr>
                <w:szCs w:val="21"/>
              </w:rPr>
              <w:t>3</w:t>
            </w:r>
            <w:r>
              <w:rPr>
                <w:rFonts w:hint="eastAsia"/>
                <w:szCs w:val="21"/>
              </w:rPr>
              <w:t>.1.3</w:t>
            </w:r>
          </w:p>
          <w:p>
            <w:pPr>
              <w:adjustRightInd w:val="0"/>
              <w:snapToGrid w:val="0"/>
              <w:jc w:val="center"/>
              <w:rPr>
                <w:rFonts w:hint="eastAsia" w:eastAsia="宋体"/>
                <w:szCs w:val="21"/>
                <w:lang w:eastAsia="zh-CN"/>
              </w:rPr>
            </w:pPr>
            <w:r>
              <w:rPr>
                <w:rFonts w:hint="eastAsia"/>
                <w:szCs w:val="21"/>
              </w:rPr>
              <w:t>图书</w:t>
            </w:r>
            <w:r>
              <w:rPr>
                <w:szCs w:val="21"/>
              </w:rPr>
              <w:t>与</w:t>
            </w:r>
            <w:r>
              <w:rPr>
                <w:rFonts w:hint="eastAsia"/>
                <w:szCs w:val="21"/>
              </w:rPr>
              <w:t>信息</w:t>
            </w:r>
            <w:r>
              <w:rPr>
                <w:szCs w:val="21"/>
              </w:rPr>
              <w:t>化资源</w:t>
            </w:r>
            <w:r>
              <w:rPr>
                <w:rFonts w:hint="eastAsia"/>
                <w:szCs w:val="21"/>
                <w:lang w:eastAsia="zh-CN"/>
              </w:rPr>
              <w:t>（</w:t>
            </w:r>
            <w:r>
              <w:rPr>
                <w:rFonts w:hint="eastAsia"/>
                <w:szCs w:val="21"/>
                <w:lang w:val="en-US" w:eastAsia="zh-CN"/>
              </w:rPr>
              <w:t>1分</w:t>
            </w:r>
            <w:r>
              <w:rPr>
                <w:rFonts w:hint="eastAsia"/>
                <w:szCs w:val="21"/>
                <w:lang w:eastAsia="zh-CN"/>
              </w:rPr>
              <w:t>）</w:t>
            </w:r>
          </w:p>
        </w:tc>
        <w:tc>
          <w:tcPr>
            <w:tcW w:w="5030" w:type="dxa"/>
            <w:noWrap w:val="0"/>
            <w:vAlign w:val="top"/>
          </w:tcPr>
          <w:p>
            <w:pPr>
              <w:keepNext w:val="0"/>
              <w:keepLines w:val="0"/>
              <w:widowControl/>
              <w:suppressLineNumbers w:val="0"/>
              <w:jc w:val="left"/>
              <w:textAlignment w:val="top"/>
              <w:rPr>
                <w:rFonts w:ascii="仿宋" w:hAnsi="仿宋" w:eastAsia="仿宋"/>
                <w:sz w:val="20"/>
                <w:szCs w:val="20"/>
              </w:rPr>
            </w:pPr>
            <w:r>
              <w:rPr>
                <w:rFonts w:hint="eastAsia" w:ascii="仿宋" w:hAnsi="仿宋" w:eastAsia="仿宋" w:cs="仿宋"/>
                <w:i w:val="0"/>
                <w:iCs w:val="0"/>
                <w:color w:val="000000"/>
                <w:kern w:val="0"/>
                <w:sz w:val="20"/>
                <w:szCs w:val="20"/>
                <w:u w:val="none"/>
                <w:lang w:val="en-US" w:eastAsia="zh-CN" w:bidi="ar"/>
              </w:rPr>
              <w:t>专业图书符合国家规定并不断充实，中外文期刊能满足教师的日常教学、科研和学生专业学习需要；专业网络课程资源占专业课程总数比例高，使用情况良好</w:t>
            </w:r>
          </w:p>
        </w:tc>
        <w:tc>
          <w:tcPr>
            <w:tcW w:w="562"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center"/>
          </w:tcPr>
          <w:p>
            <w:pPr>
              <w:adjustRightInd w:val="0"/>
              <w:snapToGrid w:val="0"/>
              <w:jc w:val="center"/>
              <w:rPr>
                <w:rFonts w:hint="default" w:ascii="仿宋" w:hAnsi="仿宋" w:eastAsia="仿宋"/>
                <w:szCs w:val="21"/>
                <w:lang w:val="en-US" w:eastAsia="zh-CN"/>
              </w:rPr>
            </w:pPr>
            <w:r>
              <w:rPr>
                <w:rFonts w:hint="eastAsia" w:ascii="仿宋" w:hAnsi="仿宋" w:eastAsia="仿宋"/>
                <w:szCs w:val="21"/>
                <w:lang w:val="en-US" w:eastAsia="zh-CN"/>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9"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pStyle w:val="7"/>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3.1.1实验室建设及管理</w:t>
            </w:r>
          </w:p>
          <w:p>
            <w:pPr>
              <w:pStyle w:val="7"/>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kern w:val="0"/>
                <w:sz w:val="24"/>
                <w:szCs w:val="24"/>
                <w:lang w:val="en-US" w:eastAsia="zh-CN"/>
              </w:rPr>
            </w:pPr>
            <w:r>
              <w:rPr>
                <w:rFonts w:hint="eastAsia" w:ascii="宋体" w:hAnsi="宋体" w:eastAsia="宋体" w:cs="宋体"/>
                <w:b w:val="0"/>
                <w:bCs w:val="0"/>
                <w:color w:val="000000"/>
                <w:kern w:val="0"/>
                <w:sz w:val="24"/>
                <w:szCs w:val="24"/>
                <w:lang w:val="en-US" w:eastAsia="zh-CN" w:bidi="ar-SA"/>
              </w:rPr>
              <w:t>目前舞蹈教研室拥有教学形体训练实训室3间；音乐厅1个，面积312平米，容纳260位观众；舞蹈基础理论教室2间；音乐编辑实训室（原电脑音乐实训室）、音乐制作实训室（原电脑音乐实训室-录音棚）2间；综合排练室1间（舞蹈排练）。舞蹈形体训练室、综合排练室、音乐编辑实训室（原电脑音乐实训室）主要面对舞蹈教育专业学生开放，每周都安排课程教学；综合排练室与音乐厅除本专业教学实践使用外，部分时间对外开放。音乐厅</w:t>
            </w:r>
            <w:r>
              <w:rPr>
                <w:rFonts w:hint="eastAsia" w:ascii="宋体" w:hAnsi="宋体" w:cs="宋体"/>
                <w:b w:val="0"/>
                <w:bCs w:val="0"/>
                <w:color w:val="000000"/>
                <w:kern w:val="0"/>
                <w:sz w:val="24"/>
                <w:szCs w:val="24"/>
                <w:lang w:val="en-US" w:eastAsia="zh-CN" w:bidi="ar-SA"/>
              </w:rPr>
              <w:t>主要是本专业教师教学、学生实践、学生考试使用。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3.1.2实习实训基地建设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kern w:val="0"/>
                <w:sz w:val="24"/>
                <w:szCs w:val="24"/>
                <w:lang w:val="en-US" w:eastAsia="zh-CN"/>
              </w:rPr>
            </w:pPr>
            <w:r>
              <w:rPr>
                <w:rFonts w:hint="eastAsia" w:ascii="宋体" w:hAnsi="宋体" w:eastAsia="宋体" w:cs="宋体"/>
                <w:b w:val="0"/>
                <w:bCs w:val="0"/>
                <w:color w:val="000000"/>
                <w:kern w:val="0"/>
                <w:sz w:val="24"/>
                <w:szCs w:val="24"/>
                <w:lang w:val="en-US" w:eastAsia="zh-CN" w:bidi="ar-SA"/>
              </w:rPr>
              <w:t>目前我系教育实践基地相对稳定，能够提供合适的教育实践环境和实习指导，满足师范生教育实践需求。本专业现有近20个实践基地（八师石河子市教育局下包含15所中小学实习基地），能够满足舞蹈教育实践和教育研究的需要，达到新疆维吾尔自治区“每15人≥1个教育实践基地”和国家“每20人≥1个教育实践基地”的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3.1.3</w:t>
            </w:r>
            <w:r>
              <w:rPr>
                <w:rFonts w:hint="eastAsia" w:ascii="宋体" w:hAnsi="宋体" w:eastAsia="宋体" w:cs="宋体"/>
                <w:b w:val="0"/>
                <w:bCs w:val="0"/>
                <w:kern w:val="0"/>
                <w:sz w:val="24"/>
                <w:szCs w:val="24"/>
              </w:rPr>
              <w:t>图书与信息化资源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color w:val="000000"/>
                <w:kern w:val="0"/>
                <w:sz w:val="24"/>
                <w:szCs w:val="24"/>
              </w:rPr>
              <w:t>选优原则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优先选用国家级规划教材、省部级规划教材。选用教材必须在《全国大中专教学用书汇编》目录中选择，如个别专业课程在目录中选不到适用教材，由任课教师递交书面报告，学院审核后报教务处主管领导签字同意方可使用。凡是开设有“马克思主义理论研究和建设工程”课程（简称“马工程”）的教材，必须选用“马工程”教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rPr>
              <w:t>征订原则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开设的所有课程原则上必须统一征订教材，任何教师不得擅自征订教学用教材。如特殊原因未征订教材课程需填写未征订教材课程目录，学院主管领导签字盖章报教材供应中心备案。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3.</w:t>
            </w:r>
            <w:r>
              <w:rPr>
                <w:rFonts w:hint="eastAsia" w:ascii="宋体" w:hAnsi="宋体" w:eastAsia="宋体" w:cs="宋体"/>
                <w:b w:val="0"/>
                <w:bCs w:val="0"/>
                <w:color w:val="000000"/>
                <w:kern w:val="0"/>
                <w:sz w:val="24"/>
                <w:szCs w:val="24"/>
              </w:rPr>
              <w:t>适用原则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选用我校教师主编或参编的出版教材及自编讲义、实验指导书，第一次使用及升级版本时须提交书面申请，由学院教学指导委员会审议签署意见同意后，报教务处主管领导审核后方可征订。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4.</w:t>
            </w:r>
            <w:r>
              <w:rPr>
                <w:rFonts w:hint="eastAsia" w:ascii="宋体" w:hAnsi="宋体" w:eastAsia="宋体" w:cs="宋体"/>
                <w:b w:val="0"/>
                <w:bCs w:val="0"/>
                <w:color w:val="000000"/>
                <w:kern w:val="0"/>
                <w:sz w:val="24"/>
                <w:szCs w:val="24"/>
              </w:rPr>
              <w:t>先进原则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优先选用近三年出版的、能反映学科专业发展前沿的教材。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5.统一原则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同一门课程原则上只选用一种教材；不同教师开设的同一门课程应协商使用同一种教材。教材选用必须符合本专业人才培养的要求，不得使用研究生或高职高专的教材。</w:t>
            </w:r>
          </w:p>
          <w:p>
            <w:pPr>
              <w:pageBreakBefore w:val="0"/>
              <w:widowControl w:val="0"/>
              <w:kinsoku/>
              <w:wordWrap/>
              <w:overflowPunct/>
              <w:topLinePunct w:val="0"/>
              <w:autoSpaceDE/>
              <w:autoSpaceDN/>
              <w:bidi w:val="0"/>
              <w:spacing w:line="360" w:lineRule="auto"/>
              <w:textAlignment w:val="auto"/>
              <w:outlineLvl w:val="9"/>
              <w:rPr>
                <w:rFonts w:hint="default"/>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pStyle w:val="7"/>
            </w:pPr>
          </w:p>
          <w:p>
            <w:pPr>
              <w:pStyle w:val="7"/>
              <w:jc w:val="both"/>
            </w:pPr>
          </w:p>
          <w:p/>
          <w:p>
            <w:pPr>
              <w:pStyle w:val="2"/>
            </w:pPr>
          </w:p>
          <w:p/>
          <w:p>
            <w:pPr>
              <w:pStyle w:val="2"/>
            </w:pPr>
          </w:p>
          <w:p/>
          <w:p>
            <w:pPr>
              <w:pStyle w:val="2"/>
            </w:pPr>
          </w:p>
          <w:p>
            <w:pPr>
              <w:pStyle w:val="2"/>
              <w:ind w:left="0" w:leftChars="0" w:firstLine="0" w:firstLineChars="0"/>
            </w:pPr>
          </w:p>
        </w:tc>
      </w:tr>
    </w:tbl>
    <w:p>
      <w: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55"/>
        <w:gridCol w:w="537"/>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widowControl/>
              <w:jc w:val="center"/>
              <w:rPr>
                <w:b/>
                <w:szCs w:val="21"/>
              </w:rPr>
            </w:pPr>
            <w:r>
              <w:br w:type="page"/>
            </w: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55"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7"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55" w:type="dxa"/>
            <w:vMerge w:val="continue"/>
            <w:noWrap w:val="0"/>
            <w:vAlign w:val="center"/>
          </w:tcPr>
          <w:p>
            <w:pPr>
              <w:adjustRightInd w:val="0"/>
              <w:snapToGrid w:val="0"/>
              <w:jc w:val="center"/>
            </w:pPr>
          </w:p>
        </w:tc>
        <w:tc>
          <w:tcPr>
            <w:tcW w:w="537" w:type="dxa"/>
            <w:noWrap w:val="0"/>
            <w:vAlign w:val="center"/>
          </w:tcPr>
          <w:p>
            <w:pPr>
              <w:adjustRightInd w:val="0"/>
              <w:snapToGrid w:val="0"/>
              <w:jc w:val="center"/>
              <w:rPr>
                <w:rFonts w:hint="eastAsia" w:eastAsia="宋体"/>
                <w:b/>
                <w:bCs/>
                <w:lang w:val="en-US" w:eastAsia="zh-CN"/>
              </w:rPr>
            </w:pPr>
            <w:r>
              <w:rPr>
                <w:rFonts w:hint="eastAsia"/>
                <w:b/>
                <w:bCs/>
                <w:lang w:val="en-US" w:eastAsia="zh-CN"/>
              </w:rPr>
              <w:t>等级</w:t>
            </w:r>
          </w:p>
        </w:tc>
        <w:tc>
          <w:tcPr>
            <w:tcW w:w="740" w:type="dxa"/>
            <w:noWrap w:val="0"/>
            <w:vAlign w:val="center"/>
          </w:tcPr>
          <w:p>
            <w:pPr>
              <w:adjustRightInd w:val="0"/>
              <w:snapToGrid w:val="0"/>
              <w:jc w:val="center"/>
              <w:rPr>
                <w:rFonts w:hint="default" w:eastAsia="宋体"/>
                <w:b/>
                <w:bCs/>
                <w:lang w:val="en-US" w:eastAsia="zh-CN"/>
              </w:rPr>
            </w:pPr>
            <w:r>
              <w:rPr>
                <w:rFonts w:hint="eastAsia"/>
                <w:b/>
                <w:bCs/>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276" w:type="dxa"/>
            <w:noWrap w:val="0"/>
            <w:vAlign w:val="center"/>
          </w:tcPr>
          <w:p>
            <w:pPr>
              <w:adjustRightInd w:val="0"/>
              <w:snapToGrid w:val="0"/>
              <w:jc w:val="center"/>
              <w:rPr>
                <w:rFonts w:hint="eastAsia"/>
                <w:szCs w:val="21"/>
              </w:rPr>
            </w:pPr>
            <w:r>
              <w:rPr>
                <w:szCs w:val="21"/>
              </w:rPr>
              <w:t>3</w:t>
            </w:r>
            <w:r>
              <w:rPr>
                <w:rFonts w:hint="eastAsia"/>
                <w:szCs w:val="21"/>
              </w:rPr>
              <w:t>.2</w:t>
            </w:r>
          </w:p>
          <w:p>
            <w:pPr>
              <w:adjustRightInd w:val="0"/>
              <w:snapToGrid w:val="0"/>
              <w:jc w:val="center"/>
              <w:rPr>
                <w:rFonts w:hint="eastAsia" w:eastAsia="宋体"/>
                <w:szCs w:val="21"/>
                <w:lang w:eastAsia="zh-CN"/>
              </w:rPr>
            </w:pPr>
            <w:r>
              <w:rPr>
                <w:rFonts w:hint="eastAsia"/>
                <w:szCs w:val="21"/>
              </w:rPr>
              <w:t>教学投入</w:t>
            </w:r>
            <w:r>
              <w:rPr>
                <w:rFonts w:hint="eastAsia"/>
                <w:szCs w:val="21"/>
                <w:lang w:eastAsia="zh-CN"/>
              </w:rPr>
              <w:t>（</w:t>
            </w:r>
            <w:r>
              <w:rPr>
                <w:rFonts w:hint="eastAsia"/>
                <w:szCs w:val="21"/>
                <w:lang w:val="en-US" w:eastAsia="zh-CN"/>
              </w:rPr>
              <w:t>2分</w:t>
            </w:r>
            <w:r>
              <w:rPr>
                <w:rFonts w:hint="eastAsia"/>
                <w:szCs w:val="21"/>
                <w:lang w:eastAsia="zh-CN"/>
              </w:rPr>
              <w:t>）</w:t>
            </w:r>
          </w:p>
        </w:tc>
        <w:tc>
          <w:tcPr>
            <w:tcW w:w="1559" w:type="dxa"/>
            <w:noWrap w:val="0"/>
            <w:vAlign w:val="center"/>
          </w:tcPr>
          <w:p>
            <w:pPr>
              <w:adjustRightInd w:val="0"/>
              <w:snapToGrid w:val="0"/>
              <w:jc w:val="center"/>
              <w:rPr>
                <w:szCs w:val="21"/>
                <w:highlight w:val="none"/>
              </w:rPr>
            </w:pPr>
            <w:r>
              <w:rPr>
                <w:szCs w:val="21"/>
                <w:highlight w:val="none"/>
              </w:rPr>
              <w:t>3</w:t>
            </w:r>
            <w:r>
              <w:rPr>
                <w:rFonts w:hint="eastAsia"/>
                <w:szCs w:val="21"/>
                <w:highlight w:val="none"/>
              </w:rPr>
              <w:t>.2.1</w:t>
            </w:r>
          </w:p>
          <w:p>
            <w:pPr>
              <w:adjustRightInd w:val="0"/>
              <w:snapToGrid w:val="0"/>
              <w:jc w:val="center"/>
              <w:rPr>
                <w:rFonts w:hint="eastAsia" w:eastAsia="宋体"/>
                <w:szCs w:val="21"/>
                <w:highlight w:val="none"/>
                <w:lang w:eastAsia="zh-CN"/>
              </w:rPr>
            </w:pPr>
            <w:r>
              <w:rPr>
                <w:rFonts w:hint="eastAsia"/>
                <w:szCs w:val="21"/>
                <w:highlight w:val="none"/>
              </w:rPr>
              <w:t>教学</w:t>
            </w:r>
            <w:r>
              <w:rPr>
                <w:szCs w:val="21"/>
                <w:highlight w:val="none"/>
              </w:rPr>
              <w:t>经费</w:t>
            </w:r>
            <w:r>
              <w:rPr>
                <w:rFonts w:hint="eastAsia"/>
                <w:szCs w:val="21"/>
                <w:highlight w:val="none"/>
                <w:lang w:eastAsia="zh-CN"/>
              </w:rPr>
              <w:t>（</w:t>
            </w:r>
            <w:r>
              <w:rPr>
                <w:rFonts w:hint="eastAsia"/>
                <w:szCs w:val="21"/>
                <w:highlight w:val="none"/>
                <w:lang w:val="en-US" w:eastAsia="zh-CN"/>
              </w:rPr>
              <w:t>2分</w:t>
            </w:r>
            <w:r>
              <w:rPr>
                <w:rFonts w:hint="eastAsia"/>
                <w:szCs w:val="21"/>
                <w:highlight w:val="none"/>
                <w:lang w:eastAsia="zh-CN"/>
              </w:rPr>
              <w:t>）</w:t>
            </w:r>
          </w:p>
        </w:tc>
        <w:tc>
          <w:tcPr>
            <w:tcW w:w="4955" w:type="dxa"/>
            <w:noWrap w:val="0"/>
            <w:vAlign w:val="top"/>
          </w:tcPr>
          <w:p>
            <w:pPr>
              <w:keepNext w:val="0"/>
              <w:keepLines w:val="0"/>
              <w:widowControl/>
              <w:suppressLineNumbers w:val="0"/>
              <w:jc w:val="left"/>
              <w:textAlignment w:val="top"/>
              <w:rPr>
                <w:rFonts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教学日常运行经费和专业建设经费能满足专业教学要求；专业使用教学经费合理合规，执行良好；具有一定的自筹经费的能力</w:t>
            </w:r>
          </w:p>
        </w:tc>
        <w:tc>
          <w:tcPr>
            <w:tcW w:w="537" w:type="dxa"/>
            <w:noWrap w:val="0"/>
            <w:vAlign w:val="top"/>
          </w:tcPr>
          <w:p>
            <w:pPr>
              <w:adjustRightInd w:val="0"/>
              <w:snapToGrid w:val="0"/>
              <w:rPr>
                <w:rFonts w:ascii="仿宋" w:hAnsi="仿宋" w:eastAsia="仿宋"/>
                <w:szCs w:val="21"/>
              </w:rPr>
            </w:pPr>
          </w:p>
        </w:tc>
        <w:tc>
          <w:tcPr>
            <w:tcW w:w="740"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8"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pStyle w:val="7"/>
            </w:pPr>
          </w:p>
          <w:p/>
          <w:p>
            <w:pPr>
              <w:pStyle w:val="7"/>
            </w:pPr>
          </w:p>
        </w:tc>
      </w:tr>
    </w:tbl>
    <w:p>
      <w: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867"/>
        <w:gridCol w:w="67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widowControl/>
              <w:jc w:val="center"/>
              <w:rPr>
                <w:b/>
                <w:szCs w:val="21"/>
              </w:rPr>
            </w:pPr>
            <w:r>
              <w:br w:type="page"/>
            </w: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867"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365"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867" w:type="dxa"/>
            <w:vMerge w:val="continue"/>
            <w:noWrap w:val="0"/>
            <w:vAlign w:val="center"/>
          </w:tcPr>
          <w:p>
            <w:pPr>
              <w:adjustRightInd w:val="0"/>
              <w:snapToGrid w:val="0"/>
              <w:jc w:val="center"/>
            </w:pPr>
          </w:p>
        </w:tc>
        <w:tc>
          <w:tcPr>
            <w:tcW w:w="675" w:type="dxa"/>
            <w:noWrap w:val="0"/>
            <w:vAlign w:val="center"/>
          </w:tcPr>
          <w:p>
            <w:pPr>
              <w:adjustRightInd w:val="0"/>
              <w:snapToGrid w:val="0"/>
              <w:jc w:val="center"/>
              <w:rPr>
                <w:rFonts w:hint="eastAsia" w:eastAsia="宋体"/>
                <w:b/>
                <w:bCs/>
                <w:lang w:val="en-US" w:eastAsia="zh-CN"/>
              </w:rPr>
            </w:pPr>
            <w:r>
              <w:rPr>
                <w:rFonts w:hint="eastAsia"/>
                <w:b/>
                <w:bCs/>
                <w:lang w:val="en-US" w:eastAsia="zh-CN"/>
              </w:rPr>
              <w:t>等级</w:t>
            </w:r>
          </w:p>
        </w:tc>
        <w:tc>
          <w:tcPr>
            <w:tcW w:w="690" w:type="dxa"/>
            <w:noWrap w:val="0"/>
            <w:vAlign w:val="center"/>
          </w:tcPr>
          <w:p>
            <w:pPr>
              <w:adjustRightInd w:val="0"/>
              <w:snapToGrid w:val="0"/>
              <w:jc w:val="center"/>
              <w:rPr>
                <w:rFonts w:hint="eastAsia" w:eastAsia="宋体"/>
                <w:b/>
                <w:bCs/>
                <w:lang w:val="en-US" w:eastAsia="zh-CN"/>
              </w:rPr>
            </w:pPr>
            <w:r>
              <w:rPr>
                <w:rFonts w:hint="eastAsia"/>
                <w:b/>
                <w:bCs/>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276" w:type="dxa"/>
            <w:noWrap w:val="0"/>
            <w:vAlign w:val="center"/>
          </w:tcPr>
          <w:p>
            <w:pPr>
              <w:adjustRightInd w:val="0"/>
              <w:snapToGrid w:val="0"/>
              <w:jc w:val="center"/>
              <w:rPr>
                <w:rFonts w:hint="eastAsia"/>
                <w:szCs w:val="21"/>
              </w:rPr>
            </w:pPr>
            <w:r>
              <w:rPr>
                <w:szCs w:val="21"/>
              </w:rPr>
              <w:t>3</w:t>
            </w:r>
            <w:r>
              <w:rPr>
                <w:rFonts w:hint="eastAsia"/>
                <w:szCs w:val="21"/>
              </w:rPr>
              <w:t>.3</w:t>
            </w:r>
          </w:p>
          <w:p>
            <w:pPr>
              <w:adjustRightInd w:val="0"/>
              <w:snapToGrid w:val="0"/>
              <w:jc w:val="center"/>
              <w:rPr>
                <w:rFonts w:hint="eastAsia" w:eastAsia="宋体"/>
                <w:szCs w:val="21"/>
                <w:lang w:eastAsia="zh-CN"/>
              </w:rPr>
            </w:pPr>
            <w:r>
              <w:rPr>
                <w:rFonts w:hint="eastAsia"/>
                <w:szCs w:val="21"/>
              </w:rPr>
              <w:t>社会资源的利用</w:t>
            </w:r>
            <w:r>
              <w:rPr>
                <w:rFonts w:hint="eastAsia"/>
                <w:szCs w:val="21"/>
                <w:lang w:eastAsia="zh-CN"/>
              </w:rPr>
              <w:t>（</w:t>
            </w:r>
            <w:r>
              <w:rPr>
                <w:rFonts w:hint="eastAsia"/>
                <w:szCs w:val="21"/>
                <w:lang w:val="en-US" w:eastAsia="zh-CN"/>
              </w:rPr>
              <w:t>1分</w:t>
            </w:r>
            <w:r>
              <w:rPr>
                <w:rFonts w:hint="eastAsia"/>
                <w:szCs w:val="21"/>
                <w:lang w:eastAsia="zh-CN"/>
              </w:rPr>
              <w:t>）</w:t>
            </w:r>
          </w:p>
        </w:tc>
        <w:tc>
          <w:tcPr>
            <w:tcW w:w="1559" w:type="dxa"/>
            <w:noWrap w:val="0"/>
            <w:vAlign w:val="center"/>
          </w:tcPr>
          <w:p>
            <w:pPr>
              <w:adjustRightInd w:val="0"/>
              <w:snapToGrid w:val="0"/>
              <w:jc w:val="center"/>
              <w:rPr>
                <w:szCs w:val="21"/>
                <w:highlight w:val="none"/>
              </w:rPr>
            </w:pPr>
            <w:r>
              <w:rPr>
                <w:szCs w:val="21"/>
                <w:highlight w:val="none"/>
              </w:rPr>
              <w:t>3</w:t>
            </w:r>
            <w:r>
              <w:rPr>
                <w:rFonts w:hint="eastAsia"/>
                <w:szCs w:val="21"/>
                <w:highlight w:val="none"/>
              </w:rPr>
              <w:t>.3.1</w:t>
            </w:r>
          </w:p>
          <w:p>
            <w:pPr>
              <w:adjustRightInd w:val="0"/>
              <w:snapToGrid w:val="0"/>
              <w:jc w:val="center"/>
              <w:rPr>
                <w:rFonts w:hint="eastAsia" w:eastAsia="宋体"/>
                <w:szCs w:val="21"/>
                <w:lang w:eastAsia="zh-CN"/>
              </w:rPr>
            </w:pPr>
            <w:r>
              <w:rPr>
                <w:rFonts w:hint="eastAsia"/>
                <w:szCs w:val="21"/>
                <w:highlight w:val="none"/>
              </w:rPr>
              <w:t>合作教育</w:t>
            </w:r>
            <w:r>
              <w:rPr>
                <w:rFonts w:hint="eastAsia"/>
                <w:szCs w:val="21"/>
                <w:highlight w:val="none"/>
                <w:lang w:eastAsia="zh-CN"/>
              </w:rPr>
              <w:t>（</w:t>
            </w:r>
            <w:r>
              <w:rPr>
                <w:rFonts w:hint="eastAsia"/>
                <w:szCs w:val="21"/>
                <w:highlight w:val="none"/>
                <w:lang w:val="en-US" w:eastAsia="zh-CN"/>
              </w:rPr>
              <w:t>1分</w:t>
            </w:r>
            <w:r>
              <w:rPr>
                <w:rFonts w:hint="eastAsia"/>
                <w:szCs w:val="21"/>
                <w:highlight w:val="none"/>
                <w:lang w:eastAsia="zh-CN"/>
              </w:rPr>
              <w:t>）</w:t>
            </w:r>
          </w:p>
        </w:tc>
        <w:tc>
          <w:tcPr>
            <w:tcW w:w="4867" w:type="dxa"/>
            <w:noWrap w:val="0"/>
            <w:vAlign w:val="top"/>
          </w:tcPr>
          <w:p>
            <w:pPr>
              <w:keepNext w:val="0"/>
              <w:keepLines w:val="0"/>
              <w:widowControl/>
              <w:suppressLineNumbers w:val="0"/>
              <w:jc w:val="left"/>
              <w:textAlignment w:val="top"/>
              <w:rPr>
                <w:rFonts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积极开展校企、校地、校所、校校合作合作办学、合作育人，合作教育措施具体、可行；建有校企联合实验室等人才培养平台；行业企业对专业办学或人才培养有经费支持</w:t>
            </w:r>
          </w:p>
        </w:tc>
        <w:tc>
          <w:tcPr>
            <w:tcW w:w="675" w:type="dxa"/>
            <w:noWrap w:val="0"/>
            <w:vAlign w:val="top"/>
          </w:tcPr>
          <w:p>
            <w:pPr>
              <w:adjustRightInd w:val="0"/>
              <w:snapToGrid w:val="0"/>
              <w:rPr>
                <w:rFonts w:ascii="仿宋" w:hAnsi="仿宋" w:eastAsia="仿宋"/>
                <w:szCs w:val="21"/>
              </w:rPr>
            </w:pPr>
          </w:p>
        </w:tc>
        <w:tc>
          <w:tcPr>
            <w:tcW w:w="690"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pStyle w:val="7"/>
            </w:pPr>
          </w:p>
          <w:p/>
          <w:p>
            <w:pPr>
              <w:pStyle w:val="7"/>
            </w:pPr>
          </w:p>
          <w:p/>
        </w:tc>
      </w:tr>
    </w:tbl>
    <w:p>
      <w: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339"/>
        <w:gridCol w:w="5212"/>
        <w:gridCol w:w="600"/>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339" w:type="dxa"/>
            <w:vMerge w:val="restart"/>
            <w:noWrap w:val="0"/>
            <w:vAlign w:val="center"/>
          </w:tcPr>
          <w:p>
            <w:pPr>
              <w:adjustRightInd w:val="0"/>
              <w:snapToGrid w:val="0"/>
              <w:jc w:val="center"/>
              <w:rPr>
                <w:b/>
                <w:szCs w:val="21"/>
              </w:rPr>
            </w:pPr>
            <w:r>
              <w:rPr>
                <w:rFonts w:hint="eastAsia"/>
                <w:b/>
                <w:szCs w:val="21"/>
              </w:rPr>
              <w:t>主要观测点</w:t>
            </w:r>
          </w:p>
        </w:tc>
        <w:tc>
          <w:tcPr>
            <w:tcW w:w="5212"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40"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76" w:type="dxa"/>
            <w:vMerge w:val="continue"/>
            <w:noWrap w:val="0"/>
            <w:vAlign w:val="center"/>
          </w:tcPr>
          <w:p>
            <w:pPr>
              <w:adjustRightInd w:val="0"/>
              <w:snapToGrid w:val="0"/>
              <w:jc w:val="center"/>
            </w:pPr>
          </w:p>
        </w:tc>
        <w:tc>
          <w:tcPr>
            <w:tcW w:w="1339" w:type="dxa"/>
            <w:vMerge w:val="continue"/>
            <w:noWrap w:val="0"/>
            <w:vAlign w:val="center"/>
          </w:tcPr>
          <w:p>
            <w:pPr>
              <w:adjustRightInd w:val="0"/>
              <w:snapToGrid w:val="0"/>
              <w:jc w:val="center"/>
            </w:pPr>
          </w:p>
        </w:tc>
        <w:tc>
          <w:tcPr>
            <w:tcW w:w="5212" w:type="dxa"/>
            <w:vMerge w:val="continue"/>
            <w:noWrap w:val="0"/>
            <w:vAlign w:val="center"/>
          </w:tcPr>
          <w:p>
            <w:pPr>
              <w:adjustRightInd w:val="0"/>
              <w:snapToGrid w:val="0"/>
              <w:jc w:val="center"/>
            </w:pPr>
          </w:p>
        </w:tc>
        <w:tc>
          <w:tcPr>
            <w:tcW w:w="60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4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76" w:type="dxa"/>
            <w:vMerge w:val="restart"/>
            <w:noWrap w:val="0"/>
            <w:vAlign w:val="center"/>
          </w:tcPr>
          <w:p>
            <w:pPr>
              <w:adjustRightInd w:val="0"/>
              <w:snapToGrid w:val="0"/>
              <w:jc w:val="center"/>
              <w:rPr>
                <w:rFonts w:hint="eastAsia"/>
                <w:szCs w:val="21"/>
              </w:rPr>
            </w:pPr>
            <w:r>
              <w:rPr>
                <w:szCs w:val="21"/>
              </w:rPr>
              <w:t>4</w:t>
            </w:r>
            <w:r>
              <w:rPr>
                <w:rFonts w:hint="eastAsia"/>
                <w:szCs w:val="21"/>
              </w:rPr>
              <w:t>.1</w:t>
            </w:r>
          </w:p>
          <w:p>
            <w:pPr>
              <w:adjustRightInd w:val="0"/>
              <w:snapToGrid w:val="0"/>
              <w:jc w:val="center"/>
              <w:rPr>
                <w:rFonts w:hint="eastAsia" w:eastAsia="宋体"/>
                <w:szCs w:val="21"/>
                <w:lang w:eastAsia="zh-CN"/>
              </w:rPr>
            </w:pPr>
            <w:r>
              <w:rPr>
                <w:rFonts w:hint="eastAsia"/>
                <w:szCs w:val="21"/>
              </w:rPr>
              <w:t>课程体系结构</w:t>
            </w:r>
            <w:r>
              <w:rPr>
                <w:rFonts w:hint="eastAsia"/>
                <w:szCs w:val="21"/>
                <w:lang w:eastAsia="zh-CN"/>
              </w:rPr>
              <w:t>（</w:t>
            </w:r>
            <w:r>
              <w:rPr>
                <w:rFonts w:hint="eastAsia"/>
                <w:szCs w:val="21"/>
                <w:lang w:val="en-US" w:eastAsia="zh-CN"/>
              </w:rPr>
              <w:t>12</w:t>
            </w:r>
            <w:r>
              <w:rPr>
                <w:rFonts w:hint="eastAsia"/>
                <w:szCs w:val="21"/>
                <w:lang w:eastAsia="zh-CN"/>
              </w:rPr>
              <w:t>）</w:t>
            </w:r>
          </w:p>
        </w:tc>
        <w:tc>
          <w:tcPr>
            <w:tcW w:w="1339" w:type="dxa"/>
            <w:noWrap w:val="0"/>
            <w:vAlign w:val="center"/>
          </w:tcPr>
          <w:p>
            <w:pPr>
              <w:adjustRightInd w:val="0"/>
              <w:snapToGrid w:val="0"/>
              <w:jc w:val="center"/>
              <w:rPr>
                <w:szCs w:val="21"/>
              </w:rPr>
            </w:pPr>
            <w:r>
              <w:rPr>
                <w:szCs w:val="21"/>
              </w:rPr>
              <w:t>4.1.1</w:t>
            </w:r>
          </w:p>
          <w:p>
            <w:pPr>
              <w:adjustRightInd w:val="0"/>
              <w:snapToGrid w:val="0"/>
              <w:jc w:val="center"/>
              <w:rPr>
                <w:rFonts w:hint="eastAsia" w:eastAsia="宋体"/>
                <w:szCs w:val="21"/>
                <w:lang w:eastAsia="zh-CN"/>
              </w:rPr>
            </w:pPr>
            <w:r>
              <w:rPr>
                <w:szCs w:val="21"/>
              </w:rPr>
              <w:t>核心课程</w:t>
            </w:r>
            <w:r>
              <w:rPr>
                <w:rFonts w:hint="eastAsia"/>
                <w:szCs w:val="21"/>
                <w:lang w:eastAsia="zh-CN"/>
              </w:rPr>
              <w:t>（</w:t>
            </w:r>
            <w:r>
              <w:rPr>
                <w:rFonts w:hint="eastAsia"/>
                <w:szCs w:val="21"/>
                <w:lang w:val="en-US" w:eastAsia="zh-CN"/>
              </w:rPr>
              <w:t>4分</w:t>
            </w:r>
            <w:r>
              <w:rPr>
                <w:rFonts w:hint="eastAsia"/>
                <w:szCs w:val="21"/>
                <w:lang w:eastAsia="zh-CN"/>
              </w:rPr>
              <w:t>）</w:t>
            </w:r>
          </w:p>
        </w:tc>
        <w:tc>
          <w:tcPr>
            <w:tcW w:w="5212" w:type="dxa"/>
            <w:noWrap w:val="0"/>
            <w:vAlign w:val="top"/>
          </w:tcPr>
          <w:p>
            <w:pPr>
              <w:rPr>
                <w:rFonts w:hint="eastAsia" w:ascii="仿宋" w:hAnsi="仿宋" w:eastAsia="仿宋" w:cs="仿宋"/>
                <w:sz w:val="20"/>
                <w:szCs w:val="20"/>
              </w:rPr>
            </w:pPr>
            <w:r>
              <w:rPr>
                <w:rFonts w:hint="eastAsia" w:ascii="仿宋" w:hAnsi="仿宋" w:eastAsia="仿宋" w:cs="仿宋"/>
                <w:sz w:val="20"/>
                <w:szCs w:val="20"/>
                <w:lang w:val="en-US" w:eastAsia="zh-CN"/>
              </w:rPr>
              <w:t>专业核心课程设置符合国家标准，专业核心课程时序关系合理；课程群(或模块分）方向明确，设置合理，相关性强</w:t>
            </w:r>
          </w:p>
        </w:tc>
        <w:tc>
          <w:tcPr>
            <w:tcW w:w="600"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76" w:type="dxa"/>
            <w:vMerge w:val="continue"/>
            <w:noWrap w:val="0"/>
            <w:vAlign w:val="center"/>
          </w:tcPr>
          <w:p>
            <w:pPr>
              <w:adjustRightInd w:val="0"/>
              <w:snapToGrid w:val="0"/>
              <w:jc w:val="center"/>
              <w:rPr>
                <w:szCs w:val="21"/>
              </w:rPr>
            </w:pPr>
          </w:p>
        </w:tc>
        <w:tc>
          <w:tcPr>
            <w:tcW w:w="1339" w:type="dxa"/>
            <w:noWrap w:val="0"/>
            <w:vAlign w:val="center"/>
          </w:tcPr>
          <w:p>
            <w:pPr>
              <w:adjustRightInd w:val="0"/>
              <w:snapToGrid w:val="0"/>
              <w:jc w:val="center"/>
              <w:rPr>
                <w:szCs w:val="21"/>
              </w:rPr>
            </w:pPr>
            <w:r>
              <w:rPr>
                <w:szCs w:val="21"/>
              </w:rPr>
              <w:t>4.1.2</w:t>
            </w:r>
          </w:p>
          <w:p>
            <w:pPr>
              <w:adjustRightInd w:val="0"/>
              <w:snapToGrid w:val="0"/>
              <w:jc w:val="center"/>
              <w:rPr>
                <w:rFonts w:hint="eastAsia" w:eastAsia="宋体"/>
                <w:szCs w:val="21"/>
                <w:lang w:eastAsia="zh-CN"/>
              </w:rPr>
            </w:pPr>
            <w:r>
              <w:rPr>
                <w:szCs w:val="21"/>
              </w:rPr>
              <w:t>课程构成比例</w:t>
            </w:r>
            <w:r>
              <w:rPr>
                <w:rFonts w:hint="eastAsia"/>
                <w:szCs w:val="21"/>
                <w:lang w:eastAsia="zh-CN"/>
              </w:rPr>
              <w:t>（</w:t>
            </w:r>
            <w:r>
              <w:rPr>
                <w:rFonts w:hint="eastAsia"/>
                <w:szCs w:val="21"/>
                <w:lang w:val="en-US" w:eastAsia="zh-CN"/>
              </w:rPr>
              <w:t>4分</w:t>
            </w:r>
            <w:r>
              <w:rPr>
                <w:rFonts w:hint="eastAsia"/>
                <w:szCs w:val="21"/>
                <w:lang w:eastAsia="zh-CN"/>
              </w:rPr>
              <w:t>）</w:t>
            </w:r>
          </w:p>
        </w:tc>
        <w:tc>
          <w:tcPr>
            <w:tcW w:w="5212" w:type="dxa"/>
            <w:noWrap w:val="0"/>
            <w:vAlign w:val="top"/>
          </w:tcPr>
          <w:p>
            <w:pPr>
              <w:rPr>
                <w:rFonts w:hint="eastAsia" w:ascii="仿宋" w:hAnsi="仿宋" w:eastAsia="仿宋" w:cs="仿宋"/>
                <w:sz w:val="20"/>
                <w:szCs w:val="20"/>
              </w:rPr>
            </w:pPr>
            <w:r>
              <w:rPr>
                <w:rFonts w:hint="eastAsia" w:ascii="仿宋" w:hAnsi="仿宋" w:eastAsia="仿宋" w:cs="仿宋"/>
                <w:sz w:val="20"/>
                <w:szCs w:val="20"/>
                <w:lang w:val="en-US" w:eastAsia="zh-CN"/>
              </w:rPr>
              <w:t>课程体系中必修课与选修课、通识课与专业课、理论课与实践课比例合适，其中人文社科类通识课程占总学分比例不低于15%，实践类课程(包括毕业设计(论文分）分）占总学分比例符合国家要求</w:t>
            </w:r>
          </w:p>
        </w:tc>
        <w:tc>
          <w:tcPr>
            <w:tcW w:w="600"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A</w:t>
            </w:r>
          </w:p>
        </w:tc>
        <w:tc>
          <w:tcPr>
            <w:tcW w:w="640"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76" w:type="dxa"/>
            <w:vMerge w:val="continue"/>
            <w:noWrap w:val="0"/>
            <w:vAlign w:val="center"/>
          </w:tcPr>
          <w:p>
            <w:pPr>
              <w:adjustRightInd w:val="0"/>
              <w:snapToGrid w:val="0"/>
              <w:jc w:val="center"/>
              <w:rPr>
                <w:szCs w:val="21"/>
              </w:rPr>
            </w:pPr>
          </w:p>
        </w:tc>
        <w:tc>
          <w:tcPr>
            <w:tcW w:w="133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4.1.3</w:t>
            </w:r>
          </w:p>
          <w:p>
            <w:pPr>
              <w:keepNext w:val="0"/>
              <w:keepLines w:val="0"/>
              <w:widowControl/>
              <w:suppressLineNumbers w:val="0"/>
              <w:jc w:val="center"/>
              <w:textAlignment w:val="center"/>
              <w:rPr>
                <w:szCs w:val="21"/>
              </w:rPr>
            </w:pPr>
            <w:r>
              <w:rPr>
                <w:rFonts w:hint="eastAsia" w:ascii="Times New Roman" w:hAnsi="Times New Roman" w:eastAsia="宋体" w:cs="Times New Roman"/>
                <w:szCs w:val="21"/>
                <w:highlight w:val="none"/>
                <w:lang w:val="en-US" w:eastAsia="zh-CN"/>
              </w:rPr>
              <w:t>课程思政及一流课程建设情况（4分）</w:t>
            </w:r>
          </w:p>
        </w:tc>
        <w:tc>
          <w:tcPr>
            <w:tcW w:w="5212" w:type="dxa"/>
            <w:noWrap w:val="0"/>
            <w:vAlign w:val="top"/>
          </w:tcPr>
          <w:p>
            <w:pPr>
              <w:keepNext w:val="0"/>
              <w:keepLines w:val="0"/>
              <w:widowControl/>
              <w:suppressLineNumbers w:val="0"/>
              <w:jc w:val="left"/>
              <w:textAlignment w:val="top"/>
              <w:rPr>
                <w:rFonts w:hint="eastAsia" w:ascii="华文仿宋" w:hAnsi="华文仿宋" w:eastAsia="华文仿宋" w:cs="华文仿宋"/>
                <w:sz w:val="21"/>
                <w:szCs w:val="21"/>
              </w:rPr>
            </w:pPr>
            <w:r>
              <w:rPr>
                <w:rFonts w:hint="eastAsia" w:ascii="仿宋" w:hAnsi="仿宋" w:eastAsia="仿宋" w:cs="仿宋"/>
                <w:i w:val="0"/>
                <w:iCs w:val="0"/>
                <w:color w:val="000000"/>
                <w:kern w:val="0"/>
                <w:sz w:val="20"/>
                <w:szCs w:val="20"/>
                <w:u w:val="none"/>
                <w:lang w:val="en-US" w:eastAsia="zh-CN" w:bidi="ar"/>
              </w:rPr>
              <w:t>结合专业特点，推进课程思政建设；课程思政建设工作落实到课程教学各方面，贯穿于人才培养各环节。一流课程建设情况</w:t>
            </w:r>
          </w:p>
        </w:tc>
        <w:tc>
          <w:tcPr>
            <w:tcW w:w="600" w:type="dxa"/>
            <w:noWrap w:val="0"/>
            <w:vAlign w:val="center"/>
          </w:tcPr>
          <w:p>
            <w:pPr>
              <w:adjustRightInd w:val="0"/>
              <w:snapToGrid w:val="0"/>
              <w:jc w:val="center"/>
              <w:rPr>
                <w:rFonts w:ascii="仿宋" w:hAnsi="仿宋" w:eastAsia="仿宋"/>
                <w:szCs w:val="21"/>
              </w:rPr>
            </w:pPr>
          </w:p>
        </w:tc>
        <w:tc>
          <w:tcPr>
            <w:tcW w:w="640" w:type="dxa"/>
            <w:noWrap w:val="0"/>
            <w:vAlign w:val="center"/>
          </w:tcPr>
          <w:p>
            <w:pPr>
              <w:adjustRightInd w:val="0"/>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4.1.1</w:t>
            </w:r>
            <w:r>
              <w:rPr>
                <w:rFonts w:hint="eastAsia" w:ascii="宋体" w:hAnsi="宋体" w:eastAsia="宋体" w:cs="宋体"/>
                <w:b w:val="0"/>
                <w:bCs w:val="0"/>
                <w:sz w:val="24"/>
                <w:szCs w:val="24"/>
              </w:rPr>
              <w:t>核心课程</w:t>
            </w:r>
          </w:p>
          <w:p>
            <w:pPr>
              <w:pStyle w:val="2"/>
              <w:pageBreakBefore w:val="0"/>
              <w:widowControl w:val="0"/>
              <w:kinsoku/>
              <w:wordWrap/>
              <w:overflowPunct/>
              <w:topLinePunct w:val="0"/>
              <w:autoSpaceDE/>
              <w:autoSpaceDN/>
              <w:bidi w:val="0"/>
              <w:adjustRightInd w:val="0"/>
              <w:snapToGrid w:val="0"/>
              <w:spacing w:beforeLines="0" w:afterLines="0" w:line="360" w:lineRule="auto"/>
              <w:textAlignment w:val="auto"/>
              <w:rPr>
                <w:rFonts w:hint="eastAsia" w:ascii="宋体" w:hAnsi="宋体" w:eastAsia="宋体" w:cs="宋体"/>
                <w:b w:val="0"/>
                <w:bCs w:val="0"/>
                <w:color w:val="auto"/>
                <w:kern w:val="2"/>
                <w:sz w:val="24"/>
                <w:szCs w:val="24"/>
                <w:lang w:val="en-US" w:eastAsia="zh-CN" w:bidi="ar-SA"/>
              </w:rPr>
            </w:pPr>
            <w:r>
              <w:rPr>
                <w:rFonts w:hint="eastAsia" w:cs="宋体"/>
                <w:b w:val="0"/>
                <w:bCs w:val="0"/>
                <w:color w:val="auto"/>
                <w:kern w:val="2"/>
                <w:sz w:val="24"/>
                <w:szCs w:val="24"/>
                <w:lang w:val="en-US" w:eastAsia="zh-CN" w:bidi="ar-SA"/>
              </w:rPr>
              <w:t>舞蹈教育</w:t>
            </w:r>
            <w:r>
              <w:rPr>
                <w:rFonts w:hint="eastAsia" w:ascii="宋体" w:hAnsi="宋体" w:eastAsia="宋体" w:cs="宋体"/>
                <w:b w:val="0"/>
                <w:bCs w:val="0"/>
                <w:color w:val="auto"/>
                <w:kern w:val="2"/>
                <w:sz w:val="24"/>
                <w:szCs w:val="24"/>
                <w:lang w:val="en-US" w:eastAsia="zh-CN" w:bidi="ar-SA"/>
              </w:rPr>
              <w:t>专业核心课程</w:t>
            </w:r>
            <w:r>
              <w:rPr>
                <w:rFonts w:hint="eastAsia" w:cs="宋体"/>
                <w:b w:val="0"/>
                <w:bCs w:val="0"/>
                <w:color w:val="auto"/>
                <w:kern w:val="2"/>
                <w:sz w:val="24"/>
                <w:szCs w:val="24"/>
                <w:lang w:val="en-US" w:eastAsia="zh-CN" w:bidi="ar-SA"/>
              </w:rPr>
              <w:t>严格依照</w:t>
            </w:r>
            <w:r>
              <w:rPr>
                <w:rFonts w:hint="eastAsia" w:ascii="宋体" w:hAnsi="宋体" w:eastAsia="宋体" w:cs="宋体"/>
                <w:b w:val="0"/>
                <w:bCs w:val="0"/>
                <w:color w:val="auto"/>
                <w:kern w:val="2"/>
                <w:sz w:val="24"/>
                <w:szCs w:val="24"/>
                <w:lang w:val="en-US" w:eastAsia="zh-CN" w:bidi="ar-SA"/>
              </w:rPr>
              <w:t>国标</w:t>
            </w:r>
            <w:r>
              <w:rPr>
                <w:rFonts w:hint="eastAsia" w:cs="宋体"/>
                <w:b w:val="0"/>
                <w:bCs w:val="0"/>
                <w:color w:val="auto"/>
                <w:kern w:val="2"/>
                <w:sz w:val="24"/>
                <w:szCs w:val="24"/>
                <w:lang w:val="en-US" w:eastAsia="zh-CN" w:bidi="ar-SA"/>
              </w:rPr>
              <w:t>中的相关要求</w:t>
            </w:r>
            <w:r>
              <w:rPr>
                <w:rFonts w:hint="eastAsia" w:ascii="宋体" w:hAnsi="宋体" w:eastAsia="宋体" w:cs="宋体"/>
                <w:b w:val="0"/>
                <w:bCs w:val="0"/>
                <w:color w:val="auto"/>
                <w:kern w:val="2"/>
                <w:sz w:val="24"/>
                <w:szCs w:val="24"/>
                <w:lang w:val="en-US" w:eastAsia="zh-CN" w:bidi="ar-SA"/>
              </w:rPr>
              <w:t>设置，专业核心课程时序关系合理</w:t>
            </w:r>
            <w:r>
              <w:rPr>
                <w:rFonts w:hint="eastAsia"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课程模块方向明确，设置合理，相关性强</w:t>
            </w:r>
            <w:r>
              <w:rPr>
                <w:rFonts w:hint="eastAsia" w:cs="宋体"/>
                <w:b w:val="0"/>
                <w:bCs w:val="0"/>
                <w:color w:val="auto"/>
                <w:kern w:val="2"/>
                <w:sz w:val="24"/>
                <w:szCs w:val="24"/>
                <w:lang w:val="en-US" w:eastAsia="zh-CN" w:bidi="ar-SA"/>
              </w:rPr>
              <w:t>。</w:t>
            </w:r>
          </w:p>
          <w:p>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4.1.2课程构成比例</w:t>
            </w:r>
          </w:p>
          <w:p>
            <w:pPr>
              <w:pStyle w:val="2"/>
              <w:rPr>
                <w:rFonts w:hint="default" w:eastAsia="宋体"/>
                <w:lang w:val="en-US" w:eastAsia="zh-CN"/>
              </w:rPr>
            </w:pPr>
            <w:r>
              <w:rPr>
                <w:rFonts w:hint="eastAsia" w:cs="宋体"/>
                <w:b w:val="0"/>
                <w:bCs w:val="0"/>
                <w:sz w:val="24"/>
                <w:szCs w:val="24"/>
                <w:lang w:val="en-US" w:eastAsia="zh-CN"/>
              </w:rPr>
              <w:t>课程主要有通识教育、专业教育、以及实践教学三个课程类别，通识教育学分占比29.4%，专业教育占比51.6%，实践教学学分占比19%，学分总计153。如下表：</w:t>
            </w:r>
          </w:p>
          <w:p>
            <w:pPr>
              <w:pStyle w:val="2"/>
              <w:ind w:left="0" w:leftChars="0" w:firstLine="0" w:firstLineChars="0"/>
              <w:jc w:val="both"/>
              <w:rPr>
                <w:rFonts w:hint="eastAsia" w:eastAsia="宋体"/>
                <w:lang w:eastAsia="zh-CN"/>
              </w:rPr>
            </w:pPr>
            <w:r>
              <w:rPr>
                <w:rFonts w:hint="eastAsia" w:eastAsia="宋体"/>
                <w:lang w:eastAsia="zh-CN"/>
              </w:rPr>
              <w:drawing>
                <wp:inline distT="0" distB="0" distL="114300" distR="114300">
                  <wp:extent cx="4868545" cy="2192655"/>
                  <wp:effectExtent l="0" t="0" r="8255" b="17145"/>
                  <wp:docPr id="2" name="图片 2" descr="167928221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9282217430"/>
                          <pic:cNvPicPr>
                            <a:picLocks noChangeAspect="1"/>
                          </pic:cNvPicPr>
                        </pic:nvPicPr>
                        <pic:blipFill>
                          <a:blip r:embed="rId14"/>
                          <a:stretch>
                            <a:fillRect/>
                          </a:stretch>
                        </pic:blipFill>
                        <pic:spPr>
                          <a:xfrm>
                            <a:off x="0" y="0"/>
                            <a:ext cx="4868545" cy="2192655"/>
                          </a:xfrm>
                          <a:prstGeom prst="rect">
                            <a:avLst/>
                          </a:prstGeom>
                        </pic:spPr>
                      </pic:pic>
                    </a:graphicData>
                  </a:graphic>
                </wp:inline>
              </w:drawing>
            </w:r>
          </w:p>
          <w:p>
            <w:pPr>
              <w:pStyle w:val="15"/>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val="0"/>
                <w:bCs w:val="0"/>
                <w:color w:val="auto"/>
                <w:kern w:val="2"/>
                <w:sz w:val="24"/>
                <w:szCs w:val="24"/>
              </w:rPr>
            </w:pPr>
            <w:r>
              <w:rPr>
                <w:rFonts w:hint="eastAsia" w:cs="宋体"/>
                <w:b w:val="0"/>
                <w:bCs w:val="0"/>
                <w:color w:val="auto"/>
                <w:kern w:val="2"/>
                <w:sz w:val="24"/>
                <w:szCs w:val="24"/>
                <w:lang w:eastAsia="zh-CN"/>
              </w:rPr>
              <w:t>（</w:t>
            </w:r>
            <w:r>
              <w:rPr>
                <w:rFonts w:hint="eastAsia" w:cs="宋体"/>
                <w:b w:val="0"/>
                <w:bCs w:val="0"/>
                <w:color w:val="auto"/>
                <w:kern w:val="2"/>
                <w:sz w:val="24"/>
                <w:szCs w:val="24"/>
                <w:lang w:val="en-US" w:eastAsia="zh-CN"/>
              </w:rPr>
              <w:t>1</w:t>
            </w:r>
            <w:r>
              <w:rPr>
                <w:rFonts w:hint="eastAsia" w:cs="宋体"/>
                <w:b w:val="0"/>
                <w:bCs w:val="0"/>
                <w:color w:val="auto"/>
                <w:kern w:val="2"/>
                <w:sz w:val="24"/>
                <w:szCs w:val="24"/>
                <w:lang w:eastAsia="zh-CN"/>
              </w:rPr>
              <w:t>）</w:t>
            </w:r>
            <w:r>
              <w:rPr>
                <w:rFonts w:hint="eastAsia" w:ascii="宋体" w:hAnsi="宋体" w:eastAsia="宋体" w:cs="宋体"/>
                <w:b w:val="0"/>
                <w:bCs w:val="0"/>
                <w:color w:val="auto"/>
                <w:kern w:val="2"/>
                <w:sz w:val="24"/>
                <w:szCs w:val="24"/>
              </w:rPr>
              <w:t>教学模块的融汇贯通</w:t>
            </w:r>
          </w:p>
          <w:p>
            <w:pPr>
              <w:pStyle w:val="15"/>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课程体系整体架构的</w:t>
            </w:r>
            <w:r>
              <w:rPr>
                <w:rFonts w:hint="eastAsia" w:ascii="宋体" w:hAnsi="宋体" w:eastAsia="宋体" w:cs="宋体"/>
                <w:b w:val="0"/>
                <w:bCs w:val="0"/>
                <w:color w:val="auto"/>
                <w:kern w:val="2"/>
                <w:sz w:val="24"/>
                <w:szCs w:val="24"/>
                <w:lang w:val="en-US" w:eastAsia="zh-CN"/>
              </w:rPr>
              <w:t>通识教育、专业教育、实践教学环节</w:t>
            </w:r>
            <w:r>
              <w:rPr>
                <w:rFonts w:hint="eastAsia" w:ascii="宋体" w:hAnsi="宋体" w:eastAsia="宋体" w:cs="宋体"/>
                <w:b w:val="0"/>
                <w:bCs w:val="0"/>
                <w:color w:val="auto"/>
                <w:kern w:val="2"/>
                <w:sz w:val="24"/>
                <w:szCs w:val="24"/>
              </w:rPr>
              <w:t>三大模块不是简单的并列，而是融会贯通的一个有机整体。通识教育课程模块为其它模块的实施和发展提供了最基本的个人素养和综合能力的保障。通识选修课程开设美育类课程和自然学科课程，使</w:t>
            </w:r>
            <w:r>
              <w:rPr>
                <w:rFonts w:hint="eastAsia" w:cs="宋体"/>
                <w:b w:val="0"/>
                <w:bCs w:val="0"/>
                <w:color w:val="auto"/>
                <w:kern w:val="2"/>
                <w:sz w:val="24"/>
                <w:szCs w:val="24"/>
                <w:lang w:val="en-US" w:eastAsia="zh-CN"/>
              </w:rPr>
              <w:t>本</w:t>
            </w:r>
            <w:r>
              <w:rPr>
                <w:rFonts w:hint="eastAsia" w:ascii="宋体" w:hAnsi="宋体" w:eastAsia="宋体" w:cs="宋体"/>
                <w:b w:val="0"/>
                <w:bCs w:val="0"/>
                <w:color w:val="auto"/>
                <w:kern w:val="2"/>
                <w:sz w:val="24"/>
                <w:szCs w:val="24"/>
              </w:rPr>
              <w:t>专业学生具备一定自然学科知识，打破文理学科的壁垒，更加符合应用型人才</w:t>
            </w:r>
            <w:r>
              <w:rPr>
                <w:rFonts w:hint="eastAsia" w:cs="宋体"/>
                <w:b w:val="0"/>
                <w:bCs w:val="0"/>
                <w:color w:val="auto"/>
                <w:kern w:val="2"/>
                <w:sz w:val="24"/>
                <w:szCs w:val="24"/>
                <w:lang w:val="en-US" w:eastAsia="zh-CN"/>
              </w:rPr>
              <w:t>培养</w:t>
            </w:r>
            <w:r>
              <w:rPr>
                <w:rFonts w:hint="eastAsia" w:ascii="宋体" w:hAnsi="宋体" w:eastAsia="宋体" w:cs="宋体"/>
                <w:b w:val="0"/>
                <w:bCs w:val="0"/>
                <w:color w:val="auto"/>
                <w:kern w:val="2"/>
                <w:sz w:val="24"/>
                <w:szCs w:val="24"/>
              </w:rPr>
              <w:t>的专业定位。专业教育模块突出专业性和师范性相融合，选修课程丰富，满足</w:t>
            </w:r>
            <w:r>
              <w:rPr>
                <w:rFonts w:hint="eastAsia" w:cs="宋体"/>
                <w:b w:val="0"/>
                <w:bCs w:val="0"/>
                <w:color w:val="auto"/>
                <w:kern w:val="2"/>
                <w:sz w:val="24"/>
                <w:szCs w:val="24"/>
                <w:lang w:val="en-US" w:eastAsia="zh-CN"/>
              </w:rPr>
              <w:t>了</w:t>
            </w:r>
            <w:r>
              <w:rPr>
                <w:rFonts w:hint="eastAsia" w:ascii="宋体" w:hAnsi="宋体" w:eastAsia="宋体" w:cs="宋体"/>
                <w:b w:val="0"/>
                <w:bCs w:val="0"/>
                <w:color w:val="auto"/>
                <w:kern w:val="2"/>
                <w:sz w:val="24"/>
                <w:szCs w:val="24"/>
              </w:rPr>
              <w:t>学生个性化需求。</w:t>
            </w:r>
          </w:p>
          <w:p>
            <w:pPr>
              <w:pStyle w:val="15"/>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val="0"/>
                <w:bCs w:val="0"/>
                <w:color w:val="auto"/>
                <w:kern w:val="2"/>
                <w:sz w:val="24"/>
                <w:szCs w:val="24"/>
              </w:rPr>
            </w:pPr>
            <w:r>
              <w:rPr>
                <w:rFonts w:hint="eastAsia" w:cs="宋体"/>
                <w:b w:val="0"/>
                <w:bCs w:val="0"/>
                <w:color w:val="auto"/>
                <w:kern w:val="2"/>
                <w:sz w:val="24"/>
                <w:szCs w:val="24"/>
                <w:lang w:eastAsia="zh-CN"/>
              </w:rPr>
              <w:t>（</w:t>
            </w:r>
            <w:r>
              <w:rPr>
                <w:rFonts w:hint="eastAsia" w:cs="宋体"/>
                <w:b w:val="0"/>
                <w:bCs w:val="0"/>
                <w:color w:val="auto"/>
                <w:kern w:val="2"/>
                <w:sz w:val="24"/>
                <w:szCs w:val="24"/>
                <w:lang w:val="en-US" w:eastAsia="zh-CN"/>
              </w:rPr>
              <w:t>2</w:t>
            </w:r>
            <w:r>
              <w:rPr>
                <w:rFonts w:hint="eastAsia" w:cs="宋体"/>
                <w:b w:val="0"/>
                <w:bCs w:val="0"/>
                <w:color w:val="auto"/>
                <w:kern w:val="2"/>
                <w:sz w:val="24"/>
                <w:szCs w:val="24"/>
                <w:lang w:eastAsia="zh-CN"/>
              </w:rPr>
              <w:t>）</w:t>
            </w:r>
            <w:r>
              <w:rPr>
                <w:rFonts w:hint="eastAsia" w:ascii="宋体" w:hAnsi="宋体" w:eastAsia="宋体" w:cs="宋体"/>
                <w:b w:val="0"/>
                <w:bCs w:val="0"/>
                <w:color w:val="auto"/>
                <w:kern w:val="2"/>
                <w:sz w:val="24"/>
                <w:szCs w:val="24"/>
              </w:rPr>
              <w:t>规范化与个性化的有机结合</w:t>
            </w:r>
          </w:p>
          <w:p>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eastAsia"/>
                <w:lang w:val="en-US" w:eastAsia="zh-CN"/>
              </w:rPr>
            </w:pPr>
            <w:r>
              <w:rPr>
                <w:rFonts w:hint="eastAsia" w:ascii="宋体" w:hAnsi="宋体" w:eastAsia="宋体" w:cs="宋体"/>
                <w:b w:val="0"/>
                <w:bCs w:val="0"/>
                <w:color w:val="auto"/>
                <w:kern w:val="2"/>
                <w:sz w:val="24"/>
                <w:szCs w:val="24"/>
                <w:lang w:val="en-US" w:eastAsia="zh-CN" w:bidi="ar-SA"/>
              </w:rPr>
              <w:t>课程体系整体架构中必修模块是统一的规范化教育课程，而通识选修、专业选修模块课程则与学生的个人需求、兴趣及能力等个性因素密切相关，体现了统一的规范化教育与学生的个性化发展有机结合的特点。通识必修课程需修满38学分（其中思想政治理论课程修读18学分，大学外语类课程9学分，大学计算机类课程2学分，体育类课程4学分，素质拓展类课程5学分）；通识选修课最低选修7学分（其中美育类课程2学分，自然科学类课程5学分）。</w:t>
            </w:r>
          </w:p>
          <w:p>
            <w:pPr>
              <w:pStyle w:val="15"/>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val="0"/>
                <w:bCs w:val="0"/>
                <w:color w:val="auto"/>
                <w:kern w:val="2"/>
                <w:sz w:val="24"/>
                <w:szCs w:val="24"/>
              </w:rPr>
            </w:pPr>
            <w:r>
              <w:rPr>
                <w:rFonts w:hint="eastAsia" w:cs="宋体"/>
                <w:b w:val="0"/>
                <w:bCs w:val="0"/>
                <w:color w:val="auto"/>
                <w:kern w:val="2"/>
                <w:sz w:val="24"/>
                <w:szCs w:val="24"/>
                <w:lang w:eastAsia="zh-CN"/>
              </w:rPr>
              <w:t>（</w:t>
            </w:r>
            <w:r>
              <w:rPr>
                <w:rFonts w:hint="eastAsia" w:cs="宋体"/>
                <w:b w:val="0"/>
                <w:bCs w:val="0"/>
                <w:color w:val="auto"/>
                <w:kern w:val="2"/>
                <w:sz w:val="24"/>
                <w:szCs w:val="24"/>
                <w:lang w:val="en-US" w:eastAsia="zh-CN"/>
              </w:rPr>
              <w:t>3</w:t>
            </w:r>
            <w:r>
              <w:rPr>
                <w:rFonts w:hint="eastAsia" w:cs="宋体"/>
                <w:b w:val="0"/>
                <w:bCs w:val="0"/>
                <w:color w:val="auto"/>
                <w:kern w:val="2"/>
                <w:sz w:val="24"/>
                <w:szCs w:val="24"/>
                <w:lang w:eastAsia="zh-CN"/>
              </w:rPr>
              <w:t>）</w:t>
            </w:r>
            <w:r>
              <w:rPr>
                <w:rFonts w:hint="eastAsia" w:ascii="宋体" w:hAnsi="宋体" w:eastAsia="宋体" w:cs="宋体"/>
                <w:b w:val="0"/>
                <w:bCs w:val="0"/>
                <w:color w:val="auto"/>
                <w:kern w:val="2"/>
                <w:sz w:val="24"/>
                <w:szCs w:val="24"/>
              </w:rPr>
              <w:t>理论与实践的相辅相成</w:t>
            </w:r>
          </w:p>
          <w:p>
            <w:pPr>
              <w:pStyle w:val="2"/>
              <w:pageBreakBefore w:val="0"/>
              <w:kinsoku/>
              <w:wordWrap/>
              <w:overflowPunct/>
              <w:topLinePunct w:val="0"/>
              <w:bidi w:val="0"/>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课程体现理论联系实际，在实践中丰富和发展理论课程，并把理论课程的内容不断地放到实践中去应用和检验。除了专门的集中实践模块，课程体系中每个模块里面大部分课程都有大量的实践学分，实践总学分比占到了34%。充分体现了理论与实践相辅相成的特点</w:t>
            </w:r>
            <w:r>
              <w:rPr>
                <w:rFonts w:hint="eastAsia" w:cs="宋体"/>
                <w:b w:val="0"/>
                <w:bCs w:val="0"/>
                <w:sz w:val="24"/>
                <w:szCs w:val="24"/>
                <w:lang w:eastAsia="zh-CN"/>
              </w:rPr>
              <w:t>。</w:t>
            </w:r>
          </w:p>
          <w:p>
            <w:pPr>
              <w:pStyle w:val="2"/>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pStyle w:val="7"/>
            </w:pPr>
          </w:p>
          <w:p>
            <w:pPr>
              <w:rPr>
                <w:rFonts w:hint="default" w:eastAsia="宋体"/>
                <w:lang w:val="en-US" w:eastAsia="zh-CN"/>
              </w:rPr>
            </w:pPr>
            <w:r>
              <w:rPr>
                <w:rFonts w:hint="eastAsia"/>
                <w:lang w:val="en-US" w:eastAsia="zh-CN"/>
              </w:rPr>
              <w:t>4.1.1舞蹈教育专业人才培养方案</w:t>
            </w:r>
          </w:p>
          <w:p>
            <w:pPr>
              <w:pStyle w:val="7"/>
            </w:pPr>
          </w:p>
          <w:p/>
        </w:tc>
      </w:tr>
    </w:tbl>
    <w:p>
      <w: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55"/>
        <w:gridCol w:w="60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55"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7"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55" w:type="dxa"/>
            <w:vMerge w:val="continue"/>
            <w:noWrap w:val="0"/>
            <w:vAlign w:val="center"/>
          </w:tcPr>
          <w:p>
            <w:pPr>
              <w:adjustRightInd w:val="0"/>
              <w:snapToGrid w:val="0"/>
              <w:jc w:val="center"/>
            </w:pPr>
          </w:p>
        </w:tc>
        <w:tc>
          <w:tcPr>
            <w:tcW w:w="600" w:type="dxa"/>
            <w:noWrap w:val="0"/>
            <w:vAlign w:val="center"/>
          </w:tcPr>
          <w:p>
            <w:pPr>
              <w:adjustRightInd w:val="0"/>
              <w:snapToGrid w:val="0"/>
              <w:jc w:val="center"/>
              <w:rPr>
                <w:rFonts w:hint="eastAsia" w:eastAsia="宋体"/>
                <w:b/>
                <w:bCs/>
                <w:lang w:val="en-US" w:eastAsia="zh-CN"/>
              </w:rPr>
            </w:pPr>
            <w:r>
              <w:rPr>
                <w:rFonts w:hint="eastAsia"/>
                <w:b/>
                <w:bCs/>
                <w:lang w:val="en-US" w:eastAsia="zh-CN"/>
              </w:rPr>
              <w:t>等级</w:t>
            </w:r>
          </w:p>
        </w:tc>
        <w:tc>
          <w:tcPr>
            <w:tcW w:w="677" w:type="dxa"/>
            <w:noWrap w:val="0"/>
            <w:vAlign w:val="center"/>
          </w:tcPr>
          <w:p>
            <w:pPr>
              <w:adjustRightInd w:val="0"/>
              <w:snapToGrid w:val="0"/>
              <w:jc w:val="center"/>
              <w:rPr>
                <w:rFonts w:hint="eastAsia" w:eastAsia="宋体"/>
                <w:b/>
                <w:bCs/>
                <w:lang w:val="en-US" w:eastAsia="zh-CN"/>
              </w:rPr>
            </w:pPr>
            <w:r>
              <w:rPr>
                <w:rFonts w:hint="eastAsia"/>
                <w:b/>
                <w:bCs/>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76" w:type="dxa"/>
            <w:vMerge w:val="restart"/>
            <w:noWrap w:val="0"/>
            <w:vAlign w:val="center"/>
          </w:tcPr>
          <w:p>
            <w:pPr>
              <w:adjustRightInd w:val="0"/>
              <w:snapToGrid w:val="0"/>
              <w:jc w:val="center"/>
              <w:rPr>
                <w:rFonts w:hint="eastAsia"/>
                <w:szCs w:val="21"/>
              </w:rPr>
            </w:pPr>
            <w:r>
              <w:rPr>
                <w:szCs w:val="21"/>
              </w:rPr>
              <w:t>4</w:t>
            </w:r>
            <w:r>
              <w:rPr>
                <w:rFonts w:hint="eastAsia"/>
                <w:szCs w:val="21"/>
              </w:rPr>
              <w:t>.2</w:t>
            </w:r>
          </w:p>
          <w:p>
            <w:pPr>
              <w:adjustRightInd w:val="0"/>
              <w:snapToGrid w:val="0"/>
              <w:jc w:val="center"/>
              <w:rPr>
                <w:rFonts w:hint="eastAsia" w:eastAsia="宋体"/>
                <w:szCs w:val="21"/>
                <w:lang w:eastAsia="zh-CN"/>
              </w:rPr>
            </w:pPr>
            <w:r>
              <w:rPr>
                <w:rFonts w:hint="eastAsia"/>
                <w:szCs w:val="21"/>
              </w:rPr>
              <w:t>课程教学的实施</w:t>
            </w:r>
            <w:r>
              <w:rPr>
                <w:rFonts w:hint="eastAsia"/>
                <w:szCs w:val="21"/>
                <w:lang w:eastAsia="zh-CN"/>
              </w:rPr>
              <w:t>（</w:t>
            </w:r>
            <w:r>
              <w:rPr>
                <w:rFonts w:hint="eastAsia"/>
                <w:szCs w:val="21"/>
                <w:lang w:val="en-US" w:eastAsia="zh-CN"/>
              </w:rPr>
              <w:t>8分</w:t>
            </w:r>
            <w:r>
              <w:rPr>
                <w:rFonts w:hint="eastAsia"/>
                <w:szCs w:val="21"/>
                <w:lang w:eastAsia="zh-CN"/>
              </w:rPr>
              <w:t>）</w:t>
            </w:r>
          </w:p>
        </w:tc>
        <w:tc>
          <w:tcPr>
            <w:tcW w:w="1559" w:type="dxa"/>
            <w:noWrap w:val="0"/>
            <w:vAlign w:val="center"/>
          </w:tcPr>
          <w:p>
            <w:pPr>
              <w:adjustRightInd w:val="0"/>
              <w:snapToGrid w:val="0"/>
              <w:jc w:val="center"/>
              <w:rPr>
                <w:szCs w:val="21"/>
                <w:highlight w:val="none"/>
              </w:rPr>
            </w:pPr>
            <w:r>
              <w:rPr>
                <w:szCs w:val="21"/>
                <w:highlight w:val="none"/>
              </w:rPr>
              <w:t>4</w:t>
            </w:r>
            <w:r>
              <w:rPr>
                <w:rFonts w:hint="eastAsia"/>
                <w:szCs w:val="21"/>
                <w:highlight w:val="none"/>
              </w:rPr>
              <w:t>.2.1</w:t>
            </w:r>
          </w:p>
          <w:p>
            <w:pPr>
              <w:adjustRightInd w:val="0"/>
              <w:snapToGrid w:val="0"/>
              <w:jc w:val="center"/>
              <w:rPr>
                <w:rFonts w:hint="eastAsia" w:eastAsia="宋体"/>
                <w:szCs w:val="21"/>
                <w:highlight w:val="none"/>
                <w:lang w:eastAsia="zh-CN"/>
              </w:rPr>
            </w:pPr>
            <w:r>
              <w:rPr>
                <w:szCs w:val="21"/>
                <w:highlight w:val="none"/>
              </w:rPr>
              <w:t>课程教学大纲</w:t>
            </w:r>
            <w:r>
              <w:rPr>
                <w:rFonts w:hint="eastAsia"/>
                <w:szCs w:val="21"/>
                <w:highlight w:val="none"/>
                <w:lang w:eastAsia="zh-CN"/>
              </w:rPr>
              <w:t>（</w:t>
            </w:r>
            <w:r>
              <w:rPr>
                <w:rFonts w:hint="eastAsia"/>
                <w:szCs w:val="21"/>
                <w:highlight w:val="none"/>
                <w:lang w:val="en-US" w:eastAsia="zh-CN"/>
              </w:rPr>
              <w:t>4分</w:t>
            </w:r>
            <w:r>
              <w:rPr>
                <w:rFonts w:hint="eastAsia"/>
                <w:szCs w:val="21"/>
                <w:highlight w:val="none"/>
                <w:lang w:eastAsia="zh-CN"/>
              </w:rPr>
              <w:t>）</w:t>
            </w:r>
          </w:p>
        </w:tc>
        <w:tc>
          <w:tcPr>
            <w:tcW w:w="4955" w:type="dxa"/>
            <w:noWrap w:val="0"/>
            <w:vAlign w:val="top"/>
          </w:tcPr>
          <w:p>
            <w:pPr>
              <w:keepNext w:val="0"/>
              <w:keepLines w:val="0"/>
              <w:widowControl/>
              <w:suppressLineNumbers w:val="0"/>
              <w:jc w:val="left"/>
              <w:textAlignment w:val="top"/>
              <w:rPr>
                <w:rFonts w:ascii="仿宋" w:hAnsi="仿宋" w:eastAsia="仿宋"/>
                <w:sz w:val="21"/>
                <w:szCs w:val="21"/>
                <w:highlight w:val="none"/>
              </w:rPr>
            </w:pPr>
            <w:r>
              <w:rPr>
                <w:rFonts w:hint="eastAsia" w:ascii="仿宋" w:hAnsi="仿宋" w:eastAsia="仿宋" w:cs="仿宋"/>
                <w:i w:val="0"/>
                <w:iCs w:val="0"/>
                <w:color w:val="000000"/>
                <w:kern w:val="0"/>
                <w:sz w:val="20"/>
                <w:szCs w:val="20"/>
                <w:highlight w:val="none"/>
                <w:u w:val="none"/>
                <w:lang w:val="en-US" w:eastAsia="zh-CN" w:bidi="ar"/>
              </w:rPr>
              <w:t>各课程都有完整的教学大纲，课程教学目标明确，与毕业要求的对应关系清晰，课程教学内容能有效支撑课程教学目标的达成；课程大纲制定程序规范，执行效果良好；教材选用合理</w:t>
            </w:r>
          </w:p>
        </w:tc>
        <w:tc>
          <w:tcPr>
            <w:tcW w:w="600" w:type="dxa"/>
            <w:noWrap w:val="0"/>
            <w:vAlign w:val="center"/>
          </w:tcPr>
          <w:p>
            <w:pPr>
              <w:adjustRightInd w:val="0"/>
              <w:snapToGrid w:val="0"/>
              <w:jc w:val="center"/>
              <w:rPr>
                <w:rFonts w:hint="default" w:ascii="仿宋" w:hAnsi="仿宋" w:eastAsia="仿宋"/>
                <w:szCs w:val="21"/>
                <w:lang w:val="en-US" w:eastAsia="zh-CN"/>
              </w:rPr>
            </w:pPr>
            <w:r>
              <w:rPr>
                <w:rFonts w:hint="eastAsia" w:ascii="仿宋" w:hAnsi="仿宋" w:eastAsia="仿宋"/>
                <w:szCs w:val="21"/>
                <w:lang w:val="en-US" w:eastAsia="zh-CN"/>
              </w:rPr>
              <w:t>A</w:t>
            </w:r>
          </w:p>
        </w:tc>
        <w:tc>
          <w:tcPr>
            <w:tcW w:w="677"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highlight w:val="none"/>
              </w:rPr>
            </w:pPr>
            <w:r>
              <w:rPr>
                <w:szCs w:val="21"/>
                <w:highlight w:val="none"/>
              </w:rPr>
              <w:t>4.2.2</w:t>
            </w:r>
          </w:p>
          <w:p>
            <w:pPr>
              <w:adjustRightInd w:val="0"/>
              <w:snapToGrid w:val="0"/>
              <w:jc w:val="center"/>
              <w:rPr>
                <w:rFonts w:hint="eastAsia" w:eastAsia="宋体"/>
                <w:szCs w:val="21"/>
                <w:highlight w:val="none"/>
                <w:lang w:eastAsia="zh-CN"/>
              </w:rPr>
            </w:pPr>
            <w:r>
              <w:rPr>
                <w:rFonts w:hint="eastAsia"/>
                <w:szCs w:val="21"/>
                <w:highlight w:val="none"/>
              </w:rPr>
              <w:t>实践</w:t>
            </w:r>
            <w:r>
              <w:rPr>
                <w:szCs w:val="21"/>
                <w:highlight w:val="none"/>
              </w:rPr>
              <w:t>教学</w:t>
            </w:r>
            <w:r>
              <w:rPr>
                <w:rFonts w:hint="eastAsia"/>
                <w:szCs w:val="21"/>
                <w:highlight w:val="none"/>
                <w:lang w:eastAsia="zh-CN"/>
              </w:rPr>
              <w:t>（</w:t>
            </w:r>
            <w:r>
              <w:rPr>
                <w:rFonts w:hint="eastAsia"/>
                <w:szCs w:val="21"/>
                <w:highlight w:val="none"/>
                <w:lang w:val="en-US" w:eastAsia="zh-CN"/>
              </w:rPr>
              <w:t>4分</w:t>
            </w:r>
            <w:r>
              <w:rPr>
                <w:rFonts w:hint="eastAsia"/>
                <w:szCs w:val="21"/>
                <w:highlight w:val="none"/>
                <w:lang w:eastAsia="zh-CN"/>
              </w:rPr>
              <w:t>）</w:t>
            </w:r>
          </w:p>
        </w:tc>
        <w:tc>
          <w:tcPr>
            <w:tcW w:w="4955" w:type="dxa"/>
            <w:noWrap w:val="0"/>
            <w:vAlign w:val="top"/>
          </w:tcPr>
          <w:p>
            <w:pPr>
              <w:keepNext w:val="0"/>
              <w:keepLines w:val="0"/>
              <w:widowControl/>
              <w:suppressLineNumbers w:val="0"/>
              <w:jc w:val="left"/>
              <w:textAlignment w:val="top"/>
              <w:rPr>
                <w:rFonts w:ascii="仿宋" w:hAnsi="仿宋" w:eastAsia="仿宋"/>
                <w:sz w:val="21"/>
                <w:szCs w:val="21"/>
                <w:highlight w:val="none"/>
              </w:rPr>
            </w:pPr>
            <w:r>
              <w:rPr>
                <w:rFonts w:hint="eastAsia" w:ascii="仿宋" w:hAnsi="仿宋" w:eastAsia="仿宋" w:cs="仿宋"/>
                <w:i w:val="0"/>
                <w:iCs w:val="0"/>
                <w:color w:val="000000"/>
                <w:kern w:val="0"/>
                <w:sz w:val="20"/>
                <w:szCs w:val="20"/>
                <w:highlight w:val="none"/>
                <w:u w:val="none"/>
                <w:lang w:val="en-US" w:eastAsia="zh-CN" w:bidi="ar"/>
              </w:rPr>
              <w:t>实践教学环节的设置充分满足人才培养需要；实验课程设置合理，实验开出率90%以上，有综合性、设计性实验的课程比例占全部实验课程的80%以上；实习教学计划性强，过程管理严格</w:t>
            </w:r>
          </w:p>
        </w:tc>
        <w:tc>
          <w:tcPr>
            <w:tcW w:w="600"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A</w:t>
            </w:r>
          </w:p>
        </w:tc>
        <w:tc>
          <w:tcPr>
            <w:tcW w:w="677"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7"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4.2.1课程教学大纲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目前本专业课程教学大纲已撰写完毕装订成册，各课程教学目标明确，与毕业要求的对应关系清晰，课程教学内容经教研室全体教师共同商议决定，能有效支撑课程教学目标的达成，贯彻落实党的教育方针和国家教师教育相关政策要求，立足兵团，服务新疆，面向全国，以兵团精神育人、为维稳戍边服务，培养忠诚党的教育事业、身心健康、具有高尚师德、富有教育情怀、具备扎实的舞蹈教育学科知识、过硬的舞蹈专业技能、良好的中学舞蹈教育教学能力的教师。课程大纲制定程序规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4.2.2实践教学</w:t>
            </w:r>
          </w:p>
          <w:p>
            <w:pPr>
              <w:keepNext w:val="0"/>
              <w:keepLines w:val="0"/>
              <w:pageBreakBefore w:val="0"/>
              <w:widowControl w:val="0"/>
              <w:kinsoku/>
              <w:wordWrap/>
              <w:overflowPunct/>
              <w:topLinePunct w:val="0"/>
              <w:autoSpaceDE/>
              <w:autoSpaceDN/>
              <w:bidi w:val="0"/>
              <w:adjustRightInd/>
              <w:snapToGrid/>
              <w:spacing w:before="49" w:line="360" w:lineRule="auto"/>
              <w:ind w:left="6" w:firstLine="414"/>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实践教学是舞蹈类专业本科教学的重要环节，学生需要在实践教学中</w:t>
            </w:r>
            <w:r>
              <w:rPr>
                <w:rFonts w:hint="eastAsia" w:ascii="宋体" w:hAnsi="宋体" w:eastAsia="宋体" w:cs="宋体"/>
                <w:color w:val="000000" w:themeColor="text1"/>
                <w:spacing w:val="4"/>
                <w:sz w:val="24"/>
                <w:szCs w:val="24"/>
                <w14:textFill>
                  <w14:solidFill>
                    <w14:schemeClr w14:val="tx1"/>
                  </w14:solidFill>
                </w14:textFill>
              </w:rPr>
              <w:t>掌握舞蹈教学实践方法，熟知中西方舞蹈史的发展脉络，具有鉴赏、分析与评价中外音乐、</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舞</w:t>
            </w:r>
            <w:r>
              <w:rPr>
                <w:rFonts w:hint="eastAsia" w:ascii="宋体" w:hAnsi="宋体" w:eastAsia="宋体" w:cs="宋体"/>
                <w:color w:val="000000" w:themeColor="text1"/>
                <w:spacing w:val="7"/>
                <w:sz w:val="24"/>
                <w:szCs w:val="24"/>
                <w14:textFill>
                  <w14:solidFill>
                    <w14:schemeClr w14:val="tx1"/>
                  </w14:solidFill>
                </w14:textFill>
              </w:rPr>
              <w:t>蹈作品的基本能力。</w:t>
            </w:r>
            <w:r>
              <w:rPr>
                <w:rFonts w:hint="eastAsia" w:ascii="宋体" w:hAnsi="宋体" w:eastAsia="宋体" w:cs="宋体"/>
                <w:color w:val="000000" w:themeColor="text1"/>
                <w:spacing w:val="7"/>
                <w:sz w:val="24"/>
                <w:szCs w:val="24"/>
                <w:lang w:eastAsia="zh-CN"/>
                <w14:textFill>
                  <w14:solidFill>
                    <w14:schemeClr w14:val="tx1"/>
                  </w14:solidFill>
                </w14:textFill>
              </w:rPr>
              <w:t>通过</w:t>
            </w:r>
            <w:r>
              <w:rPr>
                <w:rFonts w:hint="eastAsia" w:ascii="宋体" w:hAnsi="宋体" w:eastAsia="宋体" w:cs="宋体"/>
                <w:color w:val="000000" w:themeColor="text1"/>
                <w:spacing w:val="9"/>
                <w:sz w:val="24"/>
                <w:szCs w:val="24"/>
                <w14:textFill>
                  <w14:solidFill>
                    <w14:schemeClr w14:val="tx1"/>
                  </w14:solidFill>
                </w14:textFill>
              </w:rPr>
              <w:t>掌握学生身心发展规律和学习特点，熟悉班级管理和德育工作，</w:t>
            </w:r>
            <w:r>
              <w:rPr>
                <w:rFonts w:hint="eastAsia" w:ascii="宋体" w:hAnsi="宋体" w:eastAsia="宋体" w:cs="宋体"/>
                <w:color w:val="000000" w:themeColor="text1"/>
                <w:spacing w:val="9"/>
                <w:sz w:val="24"/>
                <w:szCs w:val="24"/>
                <w:lang w:eastAsia="zh-CN"/>
                <w14:textFill>
                  <w14:solidFill>
                    <w14:schemeClr w14:val="tx1"/>
                  </w14:solidFill>
                </w14:textFill>
              </w:rPr>
              <w:t>在教学工作中</w:t>
            </w:r>
            <w:r>
              <w:rPr>
                <w:rFonts w:hint="eastAsia" w:ascii="宋体" w:hAnsi="宋体" w:eastAsia="宋体" w:cs="宋体"/>
                <w:color w:val="000000" w:themeColor="text1"/>
                <w:spacing w:val="9"/>
                <w:sz w:val="24"/>
                <w:szCs w:val="24"/>
                <w14:textFill>
                  <w14:solidFill>
                    <w14:schemeClr w14:val="tx1"/>
                  </w14:solidFill>
                </w14:textFill>
              </w:rPr>
              <w:t>践行美育教育理念，富有创意地策划和组织文艺活动，做到以美育人</w:t>
            </w:r>
            <w:r>
              <w:rPr>
                <w:rFonts w:hint="eastAsia" w:ascii="宋体" w:hAnsi="宋体" w:eastAsia="宋体" w:cs="宋体"/>
                <w:color w:val="000000" w:themeColor="text1"/>
                <w:spacing w:val="7"/>
                <w:sz w:val="24"/>
                <w:szCs w:val="24"/>
                <w14:textFill>
                  <w14:solidFill>
                    <w14:schemeClr w14:val="tx1"/>
                  </w14:solidFill>
                </w14:textFill>
              </w:rPr>
              <w:t>。</w:t>
            </w:r>
            <w:r>
              <w:rPr>
                <w:rFonts w:hint="eastAsia" w:ascii="宋体" w:hAnsi="宋体" w:eastAsia="宋体" w:cs="宋体"/>
                <w:color w:val="000000" w:themeColor="text1"/>
                <w:spacing w:val="7"/>
                <w:sz w:val="24"/>
                <w:szCs w:val="24"/>
                <w:lang w:eastAsia="zh-CN"/>
                <w14:textFill>
                  <w14:solidFill>
                    <w14:schemeClr w14:val="tx1"/>
                  </w14:solidFill>
                </w14:textFill>
              </w:rPr>
              <w:t>同时在</w:t>
            </w:r>
            <w:r>
              <w:rPr>
                <w:rFonts w:hint="eastAsia" w:ascii="宋体" w:hAnsi="宋体" w:eastAsia="宋体" w:cs="宋体"/>
                <w:color w:val="000000" w:themeColor="text1"/>
                <w:spacing w:val="6"/>
                <w:sz w:val="24"/>
                <w:szCs w:val="24"/>
                <w14:textFill>
                  <w14:solidFill>
                    <w14:schemeClr w14:val="tx1"/>
                  </w14:solidFill>
                </w14:textFill>
              </w:rPr>
              <w:t>掌握</w:t>
            </w:r>
            <w:r>
              <w:rPr>
                <w:rFonts w:hint="eastAsia" w:ascii="宋体" w:hAnsi="宋体" w:eastAsia="宋体" w:cs="宋体"/>
                <w:color w:val="000000" w:themeColor="text1"/>
                <w:spacing w:val="6"/>
                <w:sz w:val="24"/>
                <w:szCs w:val="24"/>
                <w:lang w:eastAsia="zh-CN"/>
                <w14:textFill>
                  <w14:solidFill>
                    <w14:schemeClr w14:val="tx1"/>
                  </w14:solidFill>
                </w14:textFill>
              </w:rPr>
              <w:t>了</w:t>
            </w:r>
            <w:r>
              <w:rPr>
                <w:rFonts w:hint="eastAsia" w:ascii="宋体" w:hAnsi="宋体" w:eastAsia="宋体" w:cs="宋体"/>
                <w:color w:val="000000" w:themeColor="text1"/>
                <w:spacing w:val="6"/>
                <w:sz w:val="24"/>
                <w:szCs w:val="24"/>
                <w14:textFill>
                  <w14:solidFill>
                    <w14:schemeClr w14:val="tx1"/>
                  </w14:solidFill>
                </w14:textFill>
              </w:rPr>
              <w:t>教育学、心理学等教师教育基本理论</w:t>
            </w:r>
            <w:r>
              <w:rPr>
                <w:rFonts w:hint="eastAsia" w:ascii="宋体" w:hAnsi="宋体" w:eastAsia="宋体" w:cs="宋体"/>
                <w:color w:val="000000" w:themeColor="text1"/>
                <w:spacing w:val="6"/>
                <w:sz w:val="24"/>
                <w:szCs w:val="24"/>
                <w:lang w:eastAsia="zh-CN"/>
                <w14:textFill>
                  <w14:solidFill>
                    <w14:schemeClr w14:val="tx1"/>
                  </w14:solidFill>
                </w14:textFill>
              </w:rPr>
              <w:t>的基础上</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6"/>
                <w:sz w:val="24"/>
                <w:szCs w:val="24"/>
                <w:lang w:eastAsia="zh-CN"/>
                <w14:textFill>
                  <w14:solidFill>
                    <w14:schemeClr w14:val="tx1"/>
                  </w14:solidFill>
                </w14:textFill>
              </w:rPr>
              <w:t>有效与实践教学内容相结合，达到</w:t>
            </w:r>
            <w:r>
              <w:rPr>
                <w:rFonts w:hint="eastAsia" w:ascii="宋体" w:hAnsi="宋体" w:eastAsia="宋体" w:cs="宋体"/>
                <w:color w:val="000000" w:themeColor="text1"/>
                <w:spacing w:val="6"/>
                <w:sz w:val="24"/>
                <w:szCs w:val="24"/>
                <w14:textFill>
                  <w14:solidFill>
                    <w14:schemeClr w14:val="tx1"/>
                  </w14:solidFill>
                </w14:textFill>
              </w:rPr>
              <w:t>熟悉中学舞蹈学科课程标准，掌握</w:t>
            </w:r>
            <w:r>
              <w:rPr>
                <w:rFonts w:hint="eastAsia" w:ascii="宋体" w:hAnsi="宋体" w:eastAsia="宋体" w:cs="宋体"/>
                <w:color w:val="000000" w:themeColor="text1"/>
                <w:spacing w:val="20"/>
                <w:sz w:val="24"/>
                <w:szCs w:val="24"/>
                <w14:textFill>
                  <w14:solidFill>
                    <w14:schemeClr w14:val="tx1"/>
                  </w14:solidFill>
                </w14:textFill>
              </w:rPr>
              <w:t>教</w:t>
            </w:r>
            <w:r>
              <w:rPr>
                <w:rFonts w:hint="eastAsia" w:ascii="宋体" w:hAnsi="宋体" w:eastAsia="宋体" w:cs="宋体"/>
                <w:color w:val="000000" w:themeColor="text1"/>
                <w:spacing w:val="10"/>
                <w:sz w:val="24"/>
                <w:szCs w:val="24"/>
                <w14:textFill>
                  <w14:solidFill>
                    <w14:schemeClr w14:val="tx1"/>
                  </w14:solidFill>
                </w14:textFill>
              </w:rPr>
              <w:t>育教学技能，具有以学生为中心，运用学科知识与现代教育技术进行教学设计、实施和评价的</w:t>
            </w:r>
            <w:r>
              <w:rPr>
                <w:rFonts w:hint="eastAsia" w:ascii="宋体" w:hAnsi="宋体" w:eastAsia="宋体" w:cs="宋体"/>
                <w:color w:val="000000" w:themeColor="text1"/>
                <w:spacing w:val="18"/>
                <w:sz w:val="24"/>
                <w:szCs w:val="24"/>
                <w14:textFill>
                  <w14:solidFill>
                    <w14:schemeClr w14:val="tx1"/>
                  </w14:solidFill>
                </w14:textFill>
              </w:rPr>
              <w:t>能</w:t>
            </w:r>
            <w:r>
              <w:rPr>
                <w:rFonts w:hint="eastAsia" w:ascii="宋体" w:hAnsi="宋体" w:eastAsia="宋体" w:cs="宋体"/>
                <w:color w:val="000000" w:themeColor="text1"/>
                <w:spacing w:val="11"/>
                <w:sz w:val="24"/>
                <w:szCs w:val="24"/>
                <w14:textFill>
                  <w14:solidFill>
                    <w14:schemeClr w14:val="tx1"/>
                  </w14:solidFill>
                </w14:textFill>
              </w:rPr>
              <w:t>力</w:t>
            </w:r>
            <w:r>
              <w:rPr>
                <w:rFonts w:hint="eastAsia" w:ascii="宋体" w:hAnsi="宋体" w:eastAsia="宋体" w:cs="宋体"/>
                <w:color w:val="000000" w:themeColor="text1"/>
                <w:spacing w:val="11"/>
                <w:sz w:val="24"/>
                <w:szCs w:val="24"/>
                <w:lang w:eastAsia="zh-CN"/>
                <w14:textFill>
                  <w14:solidFill>
                    <w14:schemeClr w14:val="tx1"/>
                  </w14:solidFill>
                </w14:textFill>
              </w:rPr>
              <w:t>。实践教学课程</w:t>
            </w:r>
            <w:r>
              <w:rPr>
                <w:rFonts w:hint="eastAsia" w:ascii="宋体" w:hAnsi="宋体" w:eastAsia="宋体" w:cs="宋体"/>
                <w:color w:val="000000" w:themeColor="text1"/>
                <w:sz w:val="24"/>
                <w:szCs w:val="24"/>
                <w:lang w:val="en-US" w:eastAsia="zh-CN"/>
                <w14:textFill>
                  <w14:solidFill>
                    <w14:schemeClr w14:val="tx1"/>
                  </w14:solidFill>
                </w14:textFill>
              </w:rPr>
              <w:t>包括排练、表演、采风、田野调查、教学等实践活动以及相关的实习实训，实践总学分58.5，占总学分比例38.2%。实践教学与课堂教学、自主学习有机融合，形成强调创新创业的教育体系，提升学生的创新精神、创业意识和创新创业能力，能够充分满足人才培养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在课程设置方面提高课程专业性、自主性，加强专业知识的学习，培养学生的专业思维、表达能力，提高学生的综合素质，提高学生的实践能力、教学能力，提高学生的专业化水平。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在技能培养方面专注于专业技能的发展的同时，注重培养学生能够</w:t>
            </w:r>
            <w:r>
              <w:rPr>
                <w:rFonts w:hint="eastAsia" w:ascii="宋体" w:hAnsi="宋体" w:eastAsia="宋体" w:cs="宋体"/>
                <w:color w:val="000000" w:themeColor="text1"/>
                <w:spacing w:val="9"/>
                <w:sz w:val="24"/>
                <w:szCs w:val="24"/>
                <w14:textFill>
                  <w14:solidFill>
                    <w14:schemeClr w14:val="tx1"/>
                  </w14:solidFill>
                </w14:textFill>
              </w:rPr>
              <w:t>综合运用舞蹈学科知识，充分发挥舞蹈学科技能专长，善于开发与利用课程</w:t>
            </w:r>
            <w:r>
              <w:rPr>
                <w:rFonts w:hint="eastAsia" w:ascii="宋体" w:hAnsi="宋体" w:eastAsia="宋体" w:cs="宋体"/>
                <w:color w:val="000000" w:themeColor="text1"/>
                <w:spacing w:val="16"/>
                <w:sz w:val="24"/>
                <w:szCs w:val="24"/>
                <w14:textFill>
                  <w14:solidFill>
                    <w14:schemeClr w14:val="tx1"/>
                  </w14:solidFill>
                </w14:textFill>
              </w:rPr>
              <w:t>资</w:t>
            </w:r>
            <w:r>
              <w:rPr>
                <w:rFonts w:hint="eastAsia" w:ascii="宋体" w:hAnsi="宋体" w:eastAsia="宋体" w:cs="宋体"/>
                <w:color w:val="000000" w:themeColor="text1"/>
                <w:spacing w:val="15"/>
                <w:sz w:val="24"/>
                <w:szCs w:val="24"/>
                <w14:textFill>
                  <w14:solidFill>
                    <w14:schemeClr w14:val="tx1"/>
                  </w14:solidFill>
                </w14:textFill>
              </w:rPr>
              <w:t>源</w:t>
            </w:r>
            <w:r>
              <w:rPr>
                <w:rFonts w:hint="eastAsia" w:ascii="宋体" w:hAnsi="宋体" w:eastAsia="宋体" w:cs="宋体"/>
                <w:color w:val="000000" w:themeColor="text1"/>
                <w:spacing w:val="8"/>
                <w:sz w:val="24"/>
                <w:szCs w:val="24"/>
                <w14:textFill>
                  <w14:solidFill>
                    <w14:schemeClr w14:val="tx1"/>
                  </w14:solidFill>
                </w14:textFill>
              </w:rPr>
              <w:t>，有效组织课堂教学、课外活动和教研活动</w:t>
            </w:r>
            <w:r>
              <w:rPr>
                <w:rFonts w:hint="eastAsia" w:ascii="宋体" w:hAnsi="宋体" w:eastAsia="宋体" w:cs="宋体"/>
                <w:color w:val="000000" w:themeColor="text1"/>
                <w:spacing w:val="8"/>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能够有效满足中学及相关教育机构或其他企事业单位需求。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pStyle w:val="7"/>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4.2.1舞蹈教育专业大纲装订本</w:t>
            </w:r>
          </w:p>
          <w:p/>
          <w:p>
            <w:pPr>
              <w:pStyle w:val="7"/>
            </w:pPr>
          </w:p>
          <w:p/>
        </w:tc>
      </w:tr>
    </w:tbl>
    <w:p>
      <w: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55"/>
        <w:gridCol w:w="60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55"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7"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55" w:type="dxa"/>
            <w:vMerge w:val="continue"/>
            <w:noWrap w:val="0"/>
            <w:vAlign w:val="center"/>
          </w:tcPr>
          <w:p>
            <w:pPr>
              <w:adjustRightInd w:val="0"/>
              <w:snapToGrid w:val="0"/>
              <w:jc w:val="center"/>
            </w:pPr>
          </w:p>
        </w:tc>
        <w:tc>
          <w:tcPr>
            <w:tcW w:w="60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77"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76" w:type="dxa"/>
            <w:vMerge w:val="restart"/>
            <w:noWrap w:val="0"/>
            <w:vAlign w:val="center"/>
          </w:tcPr>
          <w:p>
            <w:pPr>
              <w:adjustRightInd w:val="0"/>
              <w:snapToGrid w:val="0"/>
              <w:jc w:val="center"/>
              <w:rPr>
                <w:rFonts w:hint="eastAsia"/>
                <w:szCs w:val="21"/>
              </w:rPr>
            </w:pPr>
            <w:r>
              <w:rPr>
                <w:szCs w:val="21"/>
              </w:rPr>
              <w:t>5</w:t>
            </w:r>
            <w:r>
              <w:rPr>
                <w:rFonts w:hint="eastAsia"/>
                <w:szCs w:val="21"/>
              </w:rPr>
              <w:t>.1</w:t>
            </w:r>
          </w:p>
          <w:p>
            <w:pPr>
              <w:adjustRightInd w:val="0"/>
              <w:snapToGrid w:val="0"/>
              <w:jc w:val="center"/>
              <w:rPr>
                <w:rFonts w:hint="eastAsia" w:eastAsia="宋体"/>
                <w:szCs w:val="21"/>
                <w:lang w:eastAsia="zh-CN"/>
              </w:rPr>
            </w:pPr>
            <w:r>
              <w:rPr>
                <w:rFonts w:hint="eastAsia"/>
                <w:szCs w:val="21"/>
              </w:rPr>
              <w:t>招生与生源情况</w:t>
            </w:r>
            <w:r>
              <w:rPr>
                <w:rFonts w:hint="eastAsia"/>
                <w:szCs w:val="21"/>
                <w:lang w:eastAsia="zh-CN"/>
              </w:rPr>
              <w:t>（</w:t>
            </w:r>
            <w:r>
              <w:rPr>
                <w:rFonts w:hint="eastAsia"/>
                <w:szCs w:val="21"/>
                <w:lang w:val="en-US" w:eastAsia="zh-CN"/>
              </w:rPr>
              <w:t>6分</w:t>
            </w:r>
            <w:r>
              <w:rPr>
                <w:rFonts w:hint="eastAsia"/>
                <w:szCs w:val="21"/>
                <w:lang w:eastAsia="zh-CN"/>
              </w:rPr>
              <w:t>）</w:t>
            </w:r>
          </w:p>
        </w:tc>
        <w:tc>
          <w:tcPr>
            <w:tcW w:w="1559" w:type="dxa"/>
            <w:noWrap w:val="0"/>
            <w:vAlign w:val="center"/>
          </w:tcPr>
          <w:p>
            <w:pPr>
              <w:adjustRightInd w:val="0"/>
              <w:snapToGrid w:val="0"/>
              <w:jc w:val="center"/>
              <w:rPr>
                <w:szCs w:val="21"/>
                <w:highlight w:val="none"/>
              </w:rPr>
            </w:pPr>
            <w:r>
              <w:rPr>
                <w:szCs w:val="21"/>
                <w:highlight w:val="none"/>
              </w:rPr>
              <w:t>5</w:t>
            </w:r>
            <w:r>
              <w:rPr>
                <w:rFonts w:hint="eastAsia"/>
                <w:szCs w:val="21"/>
                <w:highlight w:val="none"/>
              </w:rPr>
              <w:t>.1.1</w:t>
            </w:r>
          </w:p>
          <w:p>
            <w:pPr>
              <w:adjustRightInd w:val="0"/>
              <w:snapToGrid w:val="0"/>
              <w:jc w:val="center"/>
              <w:rPr>
                <w:rFonts w:hint="eastAsia" w:eastAsia="宋体"/>
                <w:szCs w:val="21"/>
                <w:highlight w:val="none"/>
                <w:lang w:eastAsia="zh-CN"/>
              </w:rPr>
            </w:pPr>
            <w:r>
              <w:rPr>
                <w:szCs w:val="21"/>
                <w:highlight w:val="none"/>
              </w:rPr>
              <w:t>招生</w:t>
            </w:r>
            <w:r>
              <w:rPr>
                <w:rFonts w:hint="eastAsia"/>
                <w:szCs w:val="21"/>
                <w:highlight w:val="none"/>
              </w:rPr>
              <w:t>录取</w:t>
            </w:r>
            <w:r>
              <w:rPr>
                <w:szCs w:val="21"/>
                <w:highlight w:val="none"/>
              </w:rPr>
              <w:t>情况</w:t>
            </w:r>
            <w:r>
              <w:rPr>
                <w:rFonts w:hint="eastAsia"/>
                <w:szCs w:val="21"/>
                <w:highlight w:val="none"/>
                <w:lang w:eastAsia="zh-CN"/>
              </w:rPr>
              <w:t>（</w:t>
            </w:r>
            <w:r>
              <w:rPr>
                <w:rFonts w:hint="eastAsia"/>
                <w:szCs w:val="21"/>
                <w:highlight w:val="none"/>
                <w:lang w:val="en-US" w:eastAsia="zh-CN"/>
              </w:rPr>
              <w:t>3分</w:t>
            </w:r>
            <w:r>
              <w:rPr>
                <w:rFonts w:hint="eastAsia"/>
                <w:szCs w:val="21"/>
                <w:highlight w:val="none"/>
                <w:lang w:eastAsia="zh-CN"/>
              </w:rPr>
              <w:t>）</w:t>
            </w:r>
          </w:p>
        </w:tc>
        <w:tc>
          <w:tcPr>
            <w:tcW w:w="4955" w:type="dxa"/>
            <w:noWrap w:val="0"/>
            <w:vAlign w:val="center"/>
          </w:tcPr>
          <w:p>
            <w:pPr>
              <w:adjustRightInd w:val="0"/>
              <w:snapToGrid w:val="0"/>
              <w:spacing w:line="240" w:lineRule="exact"/>
              <w:rPr>
                <w:rFonts w:ascii="仿宋" w:hAnsi="仿宋" w:eastAsia="仿宋"/>
                <w:sz w:val="21"/>
                <w:szCs w:val="21"/>
              </w:rPr>
            </w:pPr>
            <w:r>
              <w:rPr>
                <w:rFonts w:hint="eastAsia" w:ascii="华文仿宋" w:hAnsi="华文仿宋" w:eastAsia="华文仿宋" w:cs="华文仿宋"/>
                <w:sz w:val="21"/>
                <w:szCs w:val="21"/>
              </w:rPr>
              <w:t>专业近五年的志愿录取率或大类招生专业分流情况</w:t>
            </w:r>
          </w:p>
        </w:tc>
        <w:tc>
          <w:tcPr>
            <w:tcW w:w="600" w:type="dxa"/>
            <w:noWrap w:val="0"/>
            <w:vAlign w:val="top"/>
          </w:tcPr>
          <w:p>
            <w:pPr>
              <w:adjustRightInd w:val="0"/>
              <w:snapToGrid w:val="0"/>
              <w:rPr>
                <w:rFonts w:ascii="仿宋" w:hAnsi="仿宋" w:eastAsia="仿宋"/>
                <w:szCs w:val="21"/>
              </w:rPr>
            </w:pPr>
          </w:p>
        </w:tc>
        <w:tc>
          <w:tcPr>
            <w:tcW w:w="677"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highlight w:val="none"/>
              </w:rPr>
            </w:pPr>
            <w:r>
              <w:rPr>
                <w:szCs w:val="21"/>
                <w:highlight w:val="none"/>
              </w:rPr>
              <w:t>5</w:t>
            </w:r>
            <w:r>
              <w:rPr>
                <w:rFonts w:hint="eastAsia"/>
                <w:szCs w:val="21"/>
                <w:highlight w:val="none"/>
              </w:rPr>
              <w:t>.1.</w:t>
            </w:r>
            <w:r>
              <w:rPr>
                <w:szCs w:val="21"/>
                <w:highlight w:val="none"/>
              </w:rPr>
              <w:t>2</w:t>
            </w:r>
          </w:p>
          <w:p>
            <w:pPr>
              <w:adjustRightInd w:val="0"/>
              <w:snapToGrid w:val="0"/>
              <w:jc w:val="center"/>
              <w:rPr>
                <w:rFonts w:hint="eastAsia" w:eastAsia="宋体"/>
                <w:szCs w:val="21"/>
                <w:highlight w:val="none"/>
                <w:lang w:eastAsia="zh-CN"/>
              </w:rPr>
            </w:pPr>
            <w:r>
              <w:rPr>
                <w:rFonts w:hint="eastAsia"/>
                <w:szCs w:val="21"/>
                <w:highlight w:val="none"/>
              </w:rPr>
              <w:t>转专业</w:t>
            </w:r>
            <w:r>
              <w:rPr>
                <w:szCs w:val="21"/>
                <w:highlight w:val="none"/>
              </w:rPr>
              <w:t>情况</w:t>
            </w:r>
            <w:r>
              <w:rPr>
                <w:rFonts w:hint="eastAsia"/>
                <w:szCs w:val="21"/>
                <w:highlight w:val="none"/>
                <w:lang w:eastAsia="zh-CN"/>
              </w:rPr>
              <w:t>（</w:t>
            </w:r>
            <w:r>
              <w:rPr>
                <w:rFonts w:hint="eastAsia"/>
                <w:szCs w:val="21"/>
                <w:highlight w:val="none"/>
                <w:lang w:val="en-US" w:eastAsia="zh-CN"/>
              </w:rPr>
              <w:t>3分</w:t>
            </w:r>
            <w:r>
              <w:rPr>
                <w:rFonts w:hint="eastAsia"/>
                <w:szCs w:val="21"/>
                <w:highlight w:val="none"/>
                <w:lang w:eastAsia="zh-CN"/>
              </w:rPr>
              <w:t>）</w:t>
            </w:r>
          </w:p>
        </w:tc>
        <w:tc>
          <w:tcPr>
            <w:tcW w:w="4955" w:type="dxa"/>
            <w:noWrap w:val="0"/>
            <w:vAlign w:val="center"/>
          </w:tcPr>
          <w:p>
            <w:pPr>
              <w:adjustRightInd w:val="0"/>
              <w:snapToGrid w:val="0"/>
              <w:spacing w:line="240" w:lineRule="exact"/>
              <w:rPr>
                <w:rFonts w:ascii="仿宋" w:hAnsi="仿宋" w:eastAsia="仿宋"/>
                <w:sz w:val="21"/>
                <w:szCs w:val="21"/>
              </w:rPr>
            </w:pPr>
            <w:r>
              <w:rPr>
                <w:rFonts w:hint="eastAsia" w:ascii="华文仿宋" w:hAnsi="华文仿宋" w:eastAsia="华文仿宋" w:cs="华文仿宋"/>
                <w:sz w:val="21"/>
                <w:szCs w:val="21"/>
              </w:rPr>
              <w:t>近五年本专业学生申请转出比例和外专业申请转入本专业的比例</w:t>
            </w:r>
          </w:p>
        </w:tc>
        <w:tc>
          <w:tcPr>
            <w:tcW w:w="600" w:type="dxa"/>
            <w:noWrap w:val="0"/>
            <w:vAlign w:val="top"/>
          </w:tcPr>
          <w:p>
            <w:pPr>
              <w:adjustRightInd w:val="0"/>
              <w:snapToGrid w:val="0"/>
              <w:rPr>
                <w:rFonts w:ascii="仿宋" w:hAnsi="仿宋" w:eastAsia="仿宋"/>
                <w:szCs w:val="21"/>
              </w:rPr>
            </w:pPr>
          </w:p>
        </w:tc>
        <w:tc>
          <w:tcPr>
            <w:tcW w:w="677"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6"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pStyle w:val="7"/>
            </w:pPr>
          </w:p>
          <w:p/>
          <w:p>
            <w:pPr>
              <w:pStyle w:val="7"/>
            </w:pPr>
          </w:p>
        </w:tc>
      </w:tr>
    </w:tbl>
    <w:p>
      <w: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92"/>
        <w:gridCol w:w="600"/>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92"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40" w:type="dxa"/>
            <w:gridSpan w:val="2"/>
            <w:noWrap w:val="0"/>
            <w:vAlign w:val="center"/>
          </w:tcPr>
          <w:p>
            <w:pPr>
              <w:adjustRightInd w:val="0"/>
              <w:snapToGrid w:val="0"/>
              <w:jc w:val="center"/>
              <w:rPr>
                <w:rFonts w:hint="eastAsia"/>
                <w:b/>
                <w:szCs w:val="21"/>
              </w:rPr>
            </w:pPr>
            <w:r>
              <w:rPr>
                <w:rFonts w:hint="eastAsia" w:ascii="宋体" w:hAnsi="宋体" w:eastAsia="宋体" w:cs="宋体"/>
                <w:b/>
                <w:bCs/>
                <w:i w:val="0"/>
                <w:iCs w:val="0"/>
                <w:color w:val="000000"/>
                <w:kern w:val="0"/>
                <w:sz w:val="20"/>
                <w:szCs w:val="20"/>
                <w:u w:val="none"/>
                <w:lang w:val="en-US" w:eastAsia="zh-CN" w:bidi="ar"/>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92" w:type="dxa"/>
            <w:vMerge w:val="continue"/>
            <w:noWrap w:val="0"/>
            <w:vAlign w:val="center"/>
          </w:tcPr>
          <w:p>
            <w:pPr>
              <w:adjustRightInd w:val="0"/>
              <w:snapToGrid w:val="0"/>
              <w:jc w:val="center"/>
            </w:pPr>
          </w:p>
        </w:tc>
        <w:tc>
          <w:tcPr>
            <w:tcW w:w="60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4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vMerge w:val="restart"/>
            <w:noWrap w:val="0"/>
            <w:vAlign w:val="center"/>
          </w:tcPr>
          <w:p>
            <w:pPr>
              <w:adjustRightInd w:val="0"/>
              <w:snapToGrid w:val="0"/>
              <w:jc w:val="center"/>
              <w:rPr>
                <w:rFonts w:hint="eastAsia"/>
                <w:szCs w:val="21"/>
              </w:rPr>
            </w:pPr>
            <w:r>
              <w:rPr>
                <w:szCs w:val="21"/>
              </w:rPr>
              <w:t>5</w:t>
            </w:r>
            <w:r>
              <w:rPr>
                <w:rFonts w:hint="eastAsia"/>
                <w:szCs w:val="21"/>
              </w:rPr>
              <w:t>.2</w:t>
            </w:r>
          </w:p>
          <w:p>
            <w:pPr>
              <w:adjustRightInd w:val="0"/>
              <w:snapToGrid w:val="0"/>
              <w:jc w:val="center"/>
              <w:rPr>
                <w:rFonts w:hint="eastAsia" w:eastAsia="宋体"/>
                <w:szCs w:val="21"/>
                <w:lang w:eastAsia="zh-CN"/>
              </w:rPr>
            </w:pPr>
            <w:r>
              <w:rPr>
                <w:rFonts w:hint="eastAsia"/>
                <w:szCs w:val="21"/>
              </w:rPr>
              <w:t>学生学习指导与</w:t>
            </w:r>
            <w:r>
              <w:rPr>
                <w:szCs w:val="21"/>
              </w:rPr>
              <w:t>跟踪</w:t>
            </w:r>
            <w:r>
              <w:rPr>
                <w:rFonts w:hint="eastAsia"/>
                <w:szCs w:val="21"/>
                <w:lang w:eastAsia="zh-CN"/>
              </w:rPr>
              <w:t>（</w:t>
            </w:r>
            <w:r>
              <w:rPr>
                <w:rFonts w:hint="eastAsia"/>
                <w:szCs w:val="21"/>
                <w:lang w:val="en-US" w:eastAsia="zh-CN"/>
              </w:rPr>
              <w:t>7分</w:t>
            </w:r>
            <w:r>
              <w:rPr>
                <w:rFonts w:hint="eastAsia"/>
                <w:szCs w:val="21"/>
                <w:lang w:eastAsia="zh-CN"/>
              </w:rPr>
              <w:t>）</w:t>
            </w:r>
          </w:p>
        </w:tc>
        <w:tc>
          <w:tcPr>
            <w:tcW w:w="1559" w:type="dxa"/>
            <w:noWrap w:val="0"/>
            <w:vAlign w:val="center"/>
          </w:tcPr>
          <w:p>
            <w:pPr>
              <w:adjustRightInd w:val="0"/>
              <w:snapToGrid w:val="0"/>
              <w:jc w:val="center"/>
              <w:rPr>
                <w:szCs w:val="21"/>
                <w:highlight w:val="none"/>
              </w:rPr>
            </w:pPr>
            <w:r>
              <w:rPr>
                <w:szCs w:val="21"/>
                <w:highlight w:val="none"/>
              </w:rPr>
              <w:t>5</w:t>
            </w:r>
            <w:r>
              <w:rPr>
                <w:rFonts w:hint="eastAsia"/>
                <w:szCs w:val="21"/>
                <w:highlight w:val="none"/>
              </w:rPr>
              <w:t>.2.1</w:t>
            </w:r>
          </w:p>
          <w:p>
            <w:pPr>
              <w:adjustRightInd w:val="0"/>
              <w:snapToGrid w:val="0"/>
              <w:jc w:val="center"/>
              <w:rPr>
                <w:rFonts w:hint="eastAsia" w:eastAsia="宋体"/>
                <w:szCs w:val="21"/>
                <w:highlight w:val="none"/>
                <w:lang w:eastAsia="zh-CN"/>
              </w:rPr>
            </w:pPr>
            <w:r>
              <w:rPr>
                <w:szCs w:val="21"/>
                <w:highlight w:val="none"/>
              </w:rPr>
              <w:t>学业指导</w:t>
            </w:r>
            <w:r>
              <w:rPr>
                <w:rFonts w:hint="eastAsia"/>
                <w:szCs w:val="21"/>
                <w:highlight w:val="none"/>
              </w:rPr>
              <w:t>与创新</w:t>
            </w:r>
            <w:r>
              <w:rPr>
                <w:szCs w:val="21"/>
                <w:highlight w:val="none"/>
              </w:rPr>
              <w:t>创业</w:t>
            </w:r>
            <w:r>
              <w:rPr>
                <w:rFonts w:hint="eastAsia"/>
                <w:szCs w:val="21"/>
                <w:highlight w:val="none"/>
                <w:lang w:eastAsia="zh-CN"/>
              </w:rPr>
              <w:t>（</w:t>
            </w:r>
            <w:r>
              <w:rPr>
                <w:rFonts w:hint="eastAsia"/>
                <w:szCs w:val="21"/>
                <w:highlight w:val="none"/>
                <w:lang w:val="en-US" w:eastAsia="zh-CN"/>
              </w:rPr>
              <w:t>4分</w:t>
            </w:r>
            <w:r>
              <w:rPr>
                <w:rFonts w:hint="eastAsia"/>
                <w:szCs w:val="21"/>
                <w:highlight w:val="none"/>
                <w:lang w:eastAsia="zh-CN"/>
              </w:rPr>
              <w:t>）</w:t>
            </w:r>
          </w:p>
        </w:tc>
        <w:tc>
          <w:tcPr>
            <w:tcW w:w="4992" w:type="dxa"/>
            <w:noWrap w:val="0"/>
            <w:vAlign w:val="top"/>
          </w:tcPr>
          <w:p>
            <w:pPr>
              <w:keepNext w:val="0"/>
              <w:keepLines w:val="0"/>
              <w:widowControl/>
              <w:suppressLineNumbers w:val="0"/>
              <w:jc w:val="left"/>
              <w:textAlignment w:val="top"/>
              <w:rPr>
                <w:rFonts w:ascii="仿宋" w:hAnsi="仿宋" w:eastAsia="仿宋"/>
                <w:sz w:val="20"/>
                <w:szCs w:val="20"/>
              </w:rPr>
            </w:pPr>
            <w:r>
              <w:rPr>
                <w:rFonts w:hint="eastAsia" w:ascii="仿宋" w:hAnsi="仿宋" w:eastAsia="仿宋" w:cs="仿宋"/>
                <w:i w:val="0"/>
                <w:iCs w:val="0"/>
                <w:color w:val="000000"/>
                <w:kern w:val="0"/>
                <w:sz w:val="20"/>
                <w:szCs w:val="20"/>
                <w:u w:val="none"/>
                <w:lang w:val="en-US" w:eastAsia="zh-CN" w:bidi="ar"/>
              </w:rPr>
              <w:t>专业具有完善的学生课堂内外学业指导制度与措施并能够很好地执行落实，成效明显；近五年专业学生积极参加各类创新创业项目，包括参加各类学科竞赛、比赛及获奖情况，参加省级及以上创新创业计划项目，发表论文、作品，获得专利、软件著作权，参与创业等</w:t>
            </w:r>
          </w:p>
        </w:tc>
        <w:tc>
          <w:tcPr>
            <w:tcW w:w="600" w:type="dxa"/>
            <w:noWrap w:val="0"/>
            <w:vAlign w:val="top"/>
          </w:tcPr>
          <w:p>
            <w:pPr>
              <w:adjustRightInd w:val="0"/>
              <w:snapToGrid w:val="0"/>
              <w:rPr>
                <w:rFonts w:ascii="仿宋" w:hAnsi="仿宋" w:eastAsia="仿宋"/>
                <w:szCs w:val="21"/>
              </w:rPr>
            </w:pPr>
          </w:p>
        </w:tc>
        <w:tc>
          <w:tcPr>
            <w:tcW w:w="640"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76" w:type="dxa"/>
            <w:vMerge w:val="continue"/>
            <w:noWrap w:val="0"/>
            <w:vAlign w:val="center"/>
          </w:tcPr>
          <w:p>
            <w:pPr>
              <w:adjustRightInd w:val="0"/>
              <w:snapToGrid w:val="0"/>
              <w:jc w:val="center"/>
              <w:rPr>
                <w:szCs w:val="21"/>
              </w:rPr>
            </w:pPr>
          </w:p>
        </w:tc>
        <w:tc>
          <w:tcPr>
            <w:tcW w:w="1559" w:type="dxa"/>
            <w:noWrap w:val="0"/>
            <w:vAlign w:val="center"/>
          </w:tcPr>
          <w:p>
            <w:pPr>
              <w:adjustRightInd w:val="0"/>
              <w:snapToGrid w:val="0"/>
              <w:jc w:val="center"/>
              <w:rPr>
                <w:szCs w:val="21"/>
                <w:highlight w:val="none"/>
              </w:rPr>
            </w:pPr>
            <w:r>
              <w:rPr>
                <w:szCs w:val="21"/>
                <w:highlight w:val="none"/>
              </w:rPr>
              <w:t>5</w:t>
            </w:r>
            <w:r>
              <w:rPr>
                <w:rFonts w:hint="eastAsia"/>
                <w:szCs w:val="21"/>
                <w:highlight w:val="none"/>
              </w:rPr>
              <w:t>.2.</w:t>
            </w:r>
            <w:r>
              <w:rPr>
                <w:szCs w:val="21"/>
                <w:highlight w:val="none"/>
              </w:rPr>
              <w:t>2</w:t>
            </w:r>
          </w:p>
          <w:p>
            <w:pPr>
              <w:adjustRightInd w:val="0"/>
              <w:snapToGrid w:val="0"/>
              <w:jc w:val="center"/>
              <w:rPr>
                <w:rFonts w:hint="eastAsia" w:eastAsia="宋体"/>
                <w:szCs w:val="21"/>
                <w:highlight w:val="none"/>
                <w:lang w:eastAsia="zh-CN"/>
              </w:rPr>
            </w:pPr>
            <w:r>
              <w:rPr>
                <w:szCs w:val="21"/>
                <w:highlight w:val="none"/>
              </w:rPr>
              <w:t>学习过程的</w:t>
            </w:r>
            <w:r>
              <w:rPr>
                <w:rFonts w:hint="eastAsia"/>
                <w:szCs w:val="21"/>
                <w:highlight w:val="none"/>
              </w:rPr>
              <w:t>跟踪</w:t>
            </w:r>
            <w:r>
              <w:rPr>
                <w:szCs w:val="21"/>
                <w:highlight w:val="none"/>
              </w:rPr>
              <w:t>与</w:t>
            </w:r>
            <w:r>
              <w:rPr>
                <w:rFonts w:hint="eastAsia"/>
                <w:szCs w:val="21"/>
                <w:highlight w:val="none"/>
              </w:rPr>
              <w:t>培养</w:t>
            </w:r>
            <w:r>
              <w:rPr>
                <w:szCs w:val="21"/>
                <w:highlight w:val="none"/>
              </w:rPr>
              <w:t>效果</w:t>
            </w:r>
            <w:r>
              <w:rPr>
                <w:rFonts w:hint="eastAsia"/>
                <w:szCs w:val="21"/>
                <w:highlight w:val="none"/>
                <w:lang w:eastAsia="zh-CN"/>
              </w:rPr>
              <w:t>（</w:t>
            </w:r>
            <w:r>
              <w:rPr>
                <w:rFonts w:hint="eastAsia"/>
                <w:szCs w:val="21"/>
                <w:highlight w:val="none"/>
                <w:lang w:val="en-US" w:eastAsia="zh-CN"/>
              </w:rPr>
              <w:t>3分</w:t>
            </w:r>
            <w:r>
              <w:rPr>
                <w:rFonts w:hint="eastAsia"/>
                <w:szCs w:val="21"/>
                <w:highlight w:val="none"/>
                <w:lang w:eastAsia="zh-CN"/>
              </w:rPr>
              <w:t>）</w:t>
            </w:r>
          </w:p>
        </w:tc>
        <w:tc>
          <w:tcPr>
            <w:tcW w:w="4992" w:type="dxa"/>
            <w:noWrap w:val="0"/>
            <w:vAlign w:val="top"/>
          </w:tcPr>
          <w:p>
            <w:pPr>
              <w:keepNext w:val="0"/>
              <w:keepLines w:val="0"/>
              <w:widowControl/>
              <w:suppressLineNumbers w:val="0"/>
              <w:jc w:val="left"/>
              <w:textAlignment w:val="top"/>
              <w:rPr>
                <w:rFonts w:ascii="仿宋" w:hAnsi="仿宋" w:eastAsia="仿宋"/>
                <w:sz w:val="20"/>
                <w:szCs w:val="20"/>
              </w:rPr>
            </w:pPr>
            <w:r>
              <w:rPr>
                <w:rFonts w:hint="eastAsia" w:ascii="仿宋" w:hAnsi="仿宋" w:eastAsia="仿宋" w:cs="仿宋"/>
                <w:i w:val="0"/>
                <w:iCs w:val="0"/>
                <w:color w:val="000000"/>
                <w:kern w:val="0"/>
                <w:sz w:val="20"/>
                <w:szCs w:val="20"/>
                <w:u w:val="none"/>
                <w:lang w:val="en-US" w:eastAsia="zh-CN" w:bidi="ar"/>
              </w:rPr>
              <w:t>专业具有完善的对学生在整个学习过程中的表现进行跟踪与评估的机制；专业学生学风优良，近五年的毕业率和学位率</w:t>
            </w:r>
          </w:p>
        </w:tc>
        <w:tc>
          <w:tcPr>
            <w:tcW w:w="600" w:type="dxa"/>
            <w:noWrap w:val="0"/>
            <w:vAlign w:val="top"/>
          </w:tcPr>
          <w:p>
            <w:pPr>
              <w:adjustRightInd w:val="0"/>
              <w:snapToGrid w:val="0"/>
              <w:rPr>
                <w:rFonts w:ascii="仿宋" w:hAnsi="仿宋" w:eastAsia="仿宋"/>
                <w:szCs w:val="21"/>
              </w:rPr>
            </w:pPr>
          </w:p>
        </w:tc>
        <w:tc>
          <w:tcPr>
            <w:tcW w:w="640"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5"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pStyle w:val="7"/>
            </w:pPr>
          </w:p>
          <w:p>
            <w:pPr>
              <w:pStyle w:val="7"/>
              <w:jc w:val="both"/>
            </w:pPr>
          </w:p>
          <w:p>
            <w:pPr>
              <w:pStyle w:val="7"/>
            </w:pPr>
          </w:p>
        </w:tc>
      </w:tr>
    </w:tbl>
    <w:p/>
    <w:p>
      <w: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67"/>
        <w:gridCol w:w="600"/>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67"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65" w:type="dxa"/>
            <w:gridSpan w:val="2"/>
            <w:noWrap w:val="0"/>
            <w:vAlign w:val="center"/>
          </w:tcPr>
          <w:p>
            <w:pPr>
              <w:adjustRightInd w:val="0"/>
              <w:snapToGrid w:val="0"/>
              <w:jc w:val="center"/>
              <w:rPr>
                <w:rFonts w:hint="eastAsia" w:eastAsia="宋体"/>
                <w:b/>
                <w:szCs w:val="21"/>
                <w:lang w:val="en-US" w:eastAsia="zh-CN"/>
              </w:rPr>
            </w:pPr>
            <w:r>
              <w:rPr>
                <w:rFonts w:hint="eastAsia"/>
                <w:b/>
                <w:szCs w:val="21"/>
              </w:rPr>
              <w:t>自评</w:t>
            </w:r>
            <w:r>
              <w:rPr>
                <w:rFonts w:hint="eastAsia"/>
                <w:b/>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67" w:type="dxa"/>
            <w:vMerge w:val="continue"/>
            <w:noWrap w:val="0"/>
            <w:vAlign w:val="center"/>
          </w:tcPr>
          <w:p>
            <w:pPr>
              <w:adjustRightInd w:val="0"/>
              <w:snapToGrid w:val="0"/>
              <w:jc w:val="center"/>
            </w:pPr>
          </w:p>
        </w:tc>
        <w:tc>
          <w:tcPr>
            <w:tcW w:w="60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65"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rFonts w:hint="eastAsia"/>
                <w:szCs w:val="21"/>
              </w:rPr>
            </w:pPr>
            <w:r>
              <w:rPr>
                <w:szCs w:val="21"/>
              </w:rPr>
              <w:t>5</w:t>
            </w:r>
            <w:r>
              <w:rPr>
                <w:rFonts w:hint="eastAsia"/>
                <w:szCs w:val="21"/>
              </w:rPr>
              <w:t>.3</w:t>
            </w:r>
          </w:p>
          <w:p>
            <w:pPr>
              <w:adjustRightInd w:val="0"/>
              <w:snapToGrid w:val="0"/>
              <w:jc w:val="center"/>
              <w:rPr>
                <w:rFonts w:hint="eastAsia" w:eastAsia="宋体"/>
                <w:szCs w:val="21"/>
                <w:lang w:eastAsia="zh-CN"/>
              </w:rPr>
            </w:pPr>
            <w:r>
              <w:rPr>
                <w:rFonts w:hint="eastAsia"/>
                <w:szCs w:val="21"/>
              </w:rPr>
              <w:t>就业与发展</w:t>
            </w:r>
            <w:r>
              <w:rPr>
                <w:rFonts w:hint="eastAsia"/>
                <w:szCs w:val="21"/>
                <w:lang w:eastAsia="zh-CN"/>
              </w:rPr>
              <w:t>（</w:t>
            </w:r>
            <w:r>
              <w:rPr>
                <w:rFonts w:hint="eastAsia"/>
                <w:szCs w:val="21"/>
                <w:lang w:val="en-US" w:eastAsia="zh-CN"/>
              </w:rPr>
              <w:t>2分</w:t>
            </w:r>
            <w:r>
              <w:rPr>
                <w:rFonts w:hint="eastAsia"/>
                <w:szCs w:val="21"/>
                <w:lang w:eastAsia="zh-CN"/>
              </w:rPr>
              <w:t>）</w:t>
            </w:r>
          </w:p>
        </w:tc>
        <w:tc>
          <w:tcPr>
            <w:tcW w:w="1559" w:type="dxa"/>
            <w:noWrap w:val="0"/>
            <w:vAlign w:val="center"/>
          </w:tcPr>
          <w:p>
            <w:pPr>
              <w:adjustRightInd w:val="0"/>
              <w:snapToGrid w:val="0"/>
              <w:jc w:val="center"/>
              <w:rPr>
                <w:szCs w:val="21"/>
                <w:highlight w:val="none"/>
              </w:rPr>
            </w:pPr>
            <w:r>
              <w:rPr>
                <w:rFonts w:hint="eastAsia"/>
                <w:szCs w:val="21"/>
                <w:highlight w:val="none"/>
              </w:rPr>
              <w:t>5.3.</w:t>
            </w:r>
            <w:r>
              <w:rPr>
                <w:rFonts w:hint="eastAsia"/>
                <w:szCs w:val="21"/>
                <w:highlight w:val="none"/>
                <w:lang w:val="en-US" w:eastAsia="zh-CN"/>
              </w:rPr>
              <w:t>1</w:t>
            </w:r>
            <w:r>
              <w:rPr>
                <w:rFonts w:hint="eastAsia"/>
                <w:szCs w:val="21"/>
                <w:highlight w:val="none"/>
              </w:rPr>
              <w:t xml:space="preserve"> </w:t>
            </w:r>
          </w:p>
          <w:p>
            <w:pPr>
              <w:adjustRightInd w:val="0"/>
              <w:snapToGrid w:val="0"/>
              <w:jc w:val="center"/>
              <w:rPr>
                <w:rFonts w:hint="eastAsia" w:eastAsia="宋体"/>
                <w:szCs w:val="21"/>
                <w:lang w:eastAsia="zh-CN"/>
              </w:rPr>
            </w:pPr>
            <w:r>
              <w:rPr>
                <w:rFonts w:hint="eastAsia"/>
                <w:szCs w:val="21"/>
                <w:highlight w:val="none"/>
              </w:rPr>
              <w:t>就业质量与</w:t>
            </w:r>
            <w:r>
              <w:rPr>
                <w:szCs w:val="21"/>
                <w:highlight w:val="none"/>
              </w:rPr>
              <w:t>满意度</w:t>
            </w:r>
            <w:r>
              <w:rPr>
                <w:rFonts w:hint="eastAsia"/>
                <w:szCs w:val="21"/>
                <w:highlight w:val="none"/>
                <w:lang w:eastAsia="zh-CN"/>
              </w:rPr>
              <w:t>（</w:t>
            </w:r>
            <w:r>
              <w:rPr>
                <w:rFonts w:hint="eastAsia"/>
                <w:szCs w:val="21"/>
                <w:highlight w:val="none"/>
                <w:lang w:val="en-US" w:eastAsia="zh-CN"/>
              </w:rPr>
              <w:t>2分</w:t>
            </w:r>
            <w:r>
              <w:rPr>
                <w:rFonts w:hint="eastAsia"/>
                <w:szCs w:val="21"/>
                <w:highlight w:val="none"/>
                <w:lang w:eastAsia="zh-CN"/>
              </w:rPr>
              <w:t>）</w:t>
            </w:r>
          </w:p>
        </w:tc>
        <w:tc>
          <w:tcPr>
            <w:tcW w:w="4967" w:type="dxa"/>
            <w:noWrap w:val="0"/>
            <w:vAlign w:val="center"/>
          </w:tcPr>
          <w:p>
            <w:pPr>
              <w:adjustRightInd w:val="0"/>
              <w:snapToGrid w:val="0"/>
              <w:rPr>
                <w:rFonts w:ascii="仿宋" w:hAnsi="仿宋" w:eastAsia="仿宋"/>
                <w:szCs w:val="21"/>
              </w:rPr>
            </w:pPr>
            <w:r>
              <w:rPr>
                <w:rFonts w:hint="eastAsia" w:ascii="华文仿宋" w:hAnsi="华文仿宋" w:eastAsia="华文仿宋" w:cs="华文仿宋"/>
                <w:sz w:val="21"/>
                <w:szCs w:val="21"/>
              </w:rPr>
              <w:t>毕业生就业质量情况，包括近五年应届毕业生年终就业率、在本专业领域内的初次就业率；学生对专业教学满意度高；用人单位对毕业生总体评价高；专业建有完善的毕业生和用人单位跟踪反馈机制或第三方调查机制</w:t>
            </w:r>
          </w:p>
        </w:tc>
        <w:tc>
          <w:tcPr>
            <w:tcW w:w="600" w:type="dxa"/>
            <w:noWrap w:val="0"/>
            <w:vAlign w:val="top"/>
          </w:tcPr>
          <w:p>
            <w:pPr>
              <w:adjustRightInd w:val="0"/>
              <w:snapToGrid w:val="0"/>
              <w:rPr>
                <w:rFonts w:ascii="仿宋" w:hAnsi="仿宋" w:eastAsia="仿宋"/>
                <w:szCs w:val="21"/>
              </w:rPr>
            </w:pPr>
          </w:p>
        </w:tc>
        <w:tc>
          <w:tcPr>
            <w:tcW w:w="665"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3"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pStyle w:val="7"/>
            </w:pPr>
          </w:p>
          <w:p/>
          <w:p/>
          <w:p>
            <w:pPr>
              <w:pStyle w:val="7"/>
            </w:pPr>
          </w:p>
        </w:tc>
      </w:tr>
    </w:tbl>
    <w:p>
      <w:pPr>
        <w:widowControl/>
        <w:jc w:val="left"/>
      </w:pPr>
    </w:p>
    <w:p>
      <w: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42"/>
        <w:gridCol w:w="538"/>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42"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190" w:type="dxa"/>
            <w:gridSpan w:val="2"/>
            <w:noWrap w:val="0"/>
            <w:vAlign w:val="center"/>
          </w:tcPr>
          <w:p>
            <w:pPr>
              <w:adjustRightInd w:val="0"/>
              <w:snapToGrid w:val="0"/>
              <w:jc w:val="center"/>
              <w:rPr>
                <w:rFonts w:hint="eastAsia" w:eastAsia="宋体"/>
                <w:b/>
                <w:szCs w:val="21"/>
                <w:lang w:eastAsia="zh-CN"/>
              </w:rPr>
            </w:pPr>
            <w:r>
              <w:rPr>
                <w:rFonts w:hint="eastAsia"/>
                <w:b/>
                <w:szCs w:val="21"/>
              </w:rPr>
              <w:t>自评</w:t>
            </w:r>
            <w:r>
              <w:rPr>
                <w:rFonts w:hint="eastAsia"/>
                <w:b/>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42" w:type="dxa"/>
            <w:vMerge w:val="continue"/>
            <w:noWrap w:val="0"/>
            <w:vAlign w:val="center"/>
          </w:tcPr>
          <w:p>
            <w:pPr>
              <w:adjustRightInd w:val="0"/>
              <w:snapToGrid w:val="0"/>
              <w:jc w:val="center"/>
            </w:pPr>
          </w:p>
        </w:tc>
        <w:tc>
          <w:tcPr>
            <w:tcW w:w="538"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52"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76" w:type="dxa"/>
            <w:vMerge w:val="restart"/>
            <w:noWrap w:val="0"/>
            <w:vAlign w:val="center"/>
          </w:tcPr>
          <w:p>
            <w:pPr>
              <w:adjustRightInd w:val="0"/>
              <w:snapToGrid w:val="0"/>
              <w:jc w:val="center"/>
              <w:rPr>
                <w:rFonts w:hint="eastAsia"/>
                <w:szCs w:val="21"/>
              </w:rPr>
            </w:pPr>
            <w:bookmarkStart w:id="3" w:name="_GoBack" w:colFirst="3" w:colLast="4"/>
            <w:r>
              <w:rPr>
                <w:rFonts w:hint="eastAsia"/>
                <w:szCs w:val="21"/>
              </w:rPr>
              <w:t>6.1</w:t>
            </w:r>
          </w:p>
          <w:p>
            <w:pPr>
              <w:adjustRightInd w:val="0"/>
              <w:snapToGrid w:val="0"/>
              <w:jc w:val="center"/>
              <w:rPr>
                <w:rFonts w:hint="default" w:eastAsia="宋体"/>
                <w:szCs w:val="21"/>
                <w:lang w:val="en-US" w:eastAsia="zh-CN"/>
              </w:rPr>
            </w:pPr>
            <w:r>
              <w:rPr>
                <w:rFonts w:hint="eastAsia"/>
                <w:szCs w:val="21"/>
                <w:lang w:val="en-US" w:eastAsia="zh-CN"/>
              </w:rPr>
              <w:t>教学管理制度（5分）</w:t>
            </w:r>
          </w:p>
        </w:tc>
        <w:tc>
          <w:tcPr>
            <w:tcW w:w="1559" w:type="dxa"/>
            <w:noWrap w:val="0"/>
            <w:vAlign w:val="center"/>
          </w:tcPr>
          <w:p>
            <w:pPr>
              <w:adjustRightInd w:val="0"/>
              <w:snapToGrid w:val="0"/>
              <w:jc w:val="center"/>
              <w:rPr>
                <w:szCs w:val="21"/>
                <w:highlight w:val="none"/>
              </w:rPr>
            </w:pPr>
            <w:r>
              <w:rPr>
                <w:rFonts w:hint="eastAsia"/>
                <w:szCs w:val="21"/>
                <w:highlight w:val="none"/>
              </w:rPr>
              <w:t>6.1.1</w:t>
            </w:r>
          </w:p>
          <w:p>
            <w:pPr>
              <w:adjustRightInd w:val="0"/>
              <w:snapToGrid w:val="0"/>
              <w:jc w:val="center"/>
              <w:rPr>
                <w:rFonts w:hint="default" w:eastAsia="宋体"/>
                <w:szCs w:val="21"/>
                <w:highlight w:val="none"/>
                <w:lang w:val="en-US" w:eastAsia="zh-CN"/>
              </w:rPr>
            </w:pPr>
            <w:r>
              <w:rPr>
                <w:rFonts w:hint="eastAsia"/>
                <w:szCs w:val="21"/>
                <w:highlight w:val="none"/>
                <w:lang w:val="en-US" w:eastAsia="zh-CN"/>
              </w:rPr>
              <w:t>教育教学管理制度的建设与执行（2分）</w:t>
            </w:r>
          </w:p>
        </w:tc>
        <w:tc>
          <w:tcPr>
            <w:tcW w:w="5042" w:type="dxa"/>
            <w:noWrap w:val="0"/>
            <w:vAlign w:val="top"/>
          </w:tcPr>
          <w:p>
            <w:pPr>
              <w:adjustRightInd w:val="0"/>
              <w:snapToGrid w:val="0"/>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专业有完善的教育教学管理制度，执行效果较好。</w:t>
            </w:r>
          </w:p>
        </w:tc>
        <w:tc>
          <w:tcPr>
            <w:tcW w:w="538"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A</w:t>
            </w:r>
          </w:p>
        </w:tc>
        <w:tc>
          <w:tcPr>
            <w:tcW w:w="652"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76" w:type="dxa"/>
            <w:vMerge w:val="continue"/>
            <w:noWrap w:val="0"/>
            <w:vAlign w:val="center"/>
          </w:tcPr>
          <w:p>
            <w:pPr>
              <w:adjustRightInd w:val="0"/>
              <w:snapToGrid w:val="0"/>
              <w:jc w:val="center"/>
              <w:rPr>
                <w:rFonts w:hint="eastAsia"/>
                <w:szCs w:val="21"/>
              </w:rPr>
            </w:pPr>
          </w:p>
        </w:tc>
        <w:tc>
          <w:tcPr>
            <w:tcW w:w="1559" w:type="dxa"/>
            <w:noWrap w:val="0"/>
            <w:vAlign w:val="center"/>
          </w:tcPr>
          <w:p>
            <w:pPr>
              <w:adjustRightInd w:val="0"/>
              <w:snapToGrid w:val="0"/>
              <w:jc w:val="center"/>
              <w:rPr>
                <w:rFonts w:hint="eastAsia" w:eastAsia="宋体"/>
                <w:szCs w:val="21"/>
                <w:highlight w:val="none"/>
                <w:lang w:val="en-US" w:eastAsia="zh-CN"/>
              </w:rPr>
            </w:pPr>
            <w:r>
              <w:rPr>
                <w:rFonts w:hint="eastAsia"/>
                <w:szCs w:val="21"/>
                <w:highlight w:val="none"/>
              </w:rPr>
              <w:t>6.1.</w:t>
            </w:r>
            <w:r>
              <w:rPr>
                <w:rFonts w:hint="eastAsia"/>
                <w:szCs w:val="21"/>
                <w:highlight w:val="none"/>
                <w:lang w:val="en-US" w:eastAsia="zh-CN"/>
              </w:rPr>
              <w:t>2</w:t>
            </w:r>
          </w:p>
          <w:p>
            <w:pPr>
              <w:adjustRightInd w:val="0"/>
              <w:snapToGrid w:val="0"/>
              <w:jc w:val="center"/>
              <w:rPr>
                <w:rFonts w:hint="default" w:eastAsia="宋体"/>
                <w:szCs w:val="21"/>
                <w:highlight w:val="none"/>
                <w:lang w:val="en-US" w:eastAsia="zh-CN"/>
              </w:rPr>
            </w:pPr>
            <w:r>
              <w:rPr>
                <w:rFonts w:hint="eastAsia"/>
                <w:szCs w:val="21"/>
                <w:highlight w:val="none"/>
                <w:lang w:val="en-US" w:eastAsia="zh-CN"/>
              </w:rPr>
              <w:t>教学环节质量标准建设情况（3分）</w:t>
            </w:r>
          </w:p>
        </w:tc>
        <w:tc>
          <w:tcPr>
            <w:tcW w:w="5042" w:type="dxa"/>
            <w:noWrap w:val="0"/>
            <w:vAlign w:val="top"/>
          </w:tcPr>
          <w:p>
            <w:pPr>
              <w:adjustRightInd w:val="0"/>
              <w:snapToGrid w:val="0"/>
              <w:rPr>
                <w:rFonts w:hint="eastAsia" w:ascii="华文仿宋" w:hAnsi="华文仿宋" w:eastAsia="华文仿宋" w:cs="华文仿宋"/>
                <w:sz w:val="21"/>
                <w:szCs w:val="21"/>
              </w:rPr>
            </w:pPr>
            <w:r>
              <w:rPr>
                <w:rFonts w:hint="eastAsia" w:ascii="华文仿宋" w:hAnsi="华文仿宋" w:eastAsia="华文仿宋" w:cs="华文仿宋"/>
                <w:sz w:val="21"/>
                <w:szCs w:val="21"/>
              </w:rPr>
              <w:t>专业有完善的教育教学管理制度，执行效果较好。</w:t>
            </w:r>
          </w:p>
          <w:p>
            <w:pPr>
              <w:adjustRightInd w:val="0"/>
              <w:snapToGrid w:val="0"/>
              <w:rPr>
                <w:rFonts w:hint="eastAsia" w:ascii="华文仿宋" w:hAnsi="华文仿宋" w:eastAsia="华文仿宋" w:cs="华文仿宋"/>
                <w:sz w:val="21"/>
                <w:szCs w:val="21"/>
              </w:rPr>
            </w:pPr>
            <w:r>
              <w:rPr>
                <w:rFonts w:hint="eastAsia" w:ascii="华文仿宋" w:hAnsi="华文仿宋" w:eastAsia="华文仿宋" w:cs="华文仿宋"/>
                <w:sz w:val="21"/>
                <w:szCs w:val="21"/>
              </w:rPr>
              <w:t>理论教学、实验(实训分）、实习、考试、课程设计、毕业综合训练、毕设设计(论文分）等主要教学环节的质量标准齐全、合理；对各教学环节的质量进行定期监测，依据可靠、数据详实可查</w:t>
            </w:r>
          </w:p>
        </w:tc>
        <w:tc>
          <w:tcPr>
            <w:tcW w:w="538"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A</w:t>
            </w:r>
          </w:p>
        </w:tc>
        <w:tc>
          <w:tcPr>
            <w:tcW w:w="652" w:type="dxa"/>
            <w:noWrap w:val="0"/>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1</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0"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w:t>
            </w:r>
            <w:r>
              <w:rPr>
                <w:szCs w:val="21"/>
              </w:rPr>
              <w:t>说明</w:t>
            </w:r>
          </w:p>
        </w:tc>
        <w:tc>
          <w:tcPr>
            <w:tcW w:w="7791" w:type="dxa"/>
            <w:gridSpan w:val="4"/>
            <w:noWrap w:val="0"/>
            <w:vAlign w:val="center"/>
          </w:tcPr>
          <w:p>
            <w:pPr>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6.1.1教育教学管理制度的建设与执行</w:t>
            </w:r>
          </w:p>
          <w:p>
            <w:pPr>
              <w:pageBreakBefore w:val="0"/>
              <w:widowControl w:val="0"/>
              <w:numPr>
                <w:ilvl w:val="0"/>
                <w:numId w:val="3"/>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教学管理与质量监控机构</w:t>
            </w:r>
            <w:r>
              <w:rPr>
                <w:rFonts w:hint="eastAsia" w:ascii="宋体" w:hAnsi="宋体" w:cs="宋体"/>
                <w:sz w:val="24"/>
                <w:szCs w:val="24"/>
                <w:lang w:eastAsia="zh-CN"/>
              </w:rPr>
              <w:t>。</w:t>
            </w:r>
            <w:r>
              <w:rPr>
                <w:rFonts w:hint="eastAsia" w:ascii="宋体" w:hAnsi="宋体" w:eastAsia="宋体" w:cs="宋体"/>
                <w:sz w:val="24"/>
                <w:szCs w:val="24"/>
              </w:rPr>
              <w:t>完善教学管理与质量监控体系，建立质量监控与教学评估常态机制。实行教、管结合与管、评分离措施，定期进行全面的教学质量检查与评估，既有个人档案袋式的过程性评价，又有定量的结果性评价，做到定性和定量相结合、评价和反思相结合、评价和建设相结合。既能做到相对稳定，又能及时研究、适时调整</w:t>
            </w:r>
            <w:r>
              <w:rPr>
                <w:rFonts w:hint="eastAsia" w:ascii="宋体" w:hAnsi="宋体" w:cs="宋体"/>
                <w:sz w:val="24"/>
                <w:szCs w:val="24"/>
                <w:lang w:eastAsia="zh-CN"/>
              </w:rPr>
              <w:t>舞蹈</w:t>
            </w:r>
            <w:r>
              <w:rPr>
                <w:rFonts w:hint="eastAsia" w:ascii="宋体" w:hAnsi="宋体" w:eastAsia="宋体" w:cs="宋体"/>
                <w:sz w:val="24"/>
                <w:szCs w:val="24"/>
              </w:rPr>
              <w:t>类本科专业定位、培养</w:t>
            </w:r>
            <w:r>
              <w:rPr>
                <w:rFonts w:hint="eastAsia" w:ascii="宋体" w:hAnsi="宋体" w:cs="宋体"/>
                <w:sz w:val="24"/>
                <w:szCs w:val="24"/>
                <w:lang w:eastAsia="zh-CN"/>
              </w:rPr>
              <w:t>目</w:t>
            </w:r>
            <w:r>
              <w:rPr>
                <w:rFonts w:hint="eastAsia" w:ascii="宋体" w:hAnsi="宋体" w:eastAsia="宋体" w:cs="宋体"/>
                <w:sz w:val="24"/>
                <w:szCs w:val="24"/>
              </w:rPr>
              <w:t>标、课程设置及教师队伍、教学条件等各方面的建设计划。</w:t>
            </w:r>
          </w:p>
          <w:p>
            <w:pPr>
              <w:pageBreakBefore w:val="0"/>
              <w:widowControl w:val="0"/>
              <w:numPr>
                <w:ilvl w:val="0"/>
                <w:numId w:val="3"/>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教学管理队伍。</w:t>
            </w:r>
            <w:r>
              <w:rPr>
                <w:rFonts w:hint="eastAsia" w:ascii="宋体" w:hAnsi="宋体" w:eastAsia="宋体" w:cs="宋体"/>
                <w:sz w:val="24"/>
                <w:szCs w:val="24"/>
              </w:rPr>
              <w:t>形成从学校分管教学的校领导、教务处、教学质量监控与评估中心等专职教学管理人员，到</w:t>
            </w:r>
            <w:r>
              <w:rPr>
                <w:rFonts w:hint="eastAsia" w:ascii="宋体" w:hAnsi="宋体" w:cs="宋体"/>
                <w:sz w:val="24"/>
                <w:szCs w:val="24"/>
                <w:lang w:eastAsia="zh-CN"/>
              </w:rPr>
              <w:t>舞蹈教育</w:t>
            </w:r>
            <w:r>
              <w:rPr>
                <w:rFonts w:hint="eastAsia" w:ascii="宋体" w:hAnsi="宋体" w:eastAsia="宋体" w:cs="宋体"/>
                <w:sz w:val="24"/>
                <w:szCs w:val="24"/>
              </w:rPr>
              <w:t>本科专业院、系、教研室共同组成的体系化教学管理队伍；注重教学管理队伍培训，积极开展针对</w:t>
            </w:r>
            <w:r>
              <w:rPr>
                <w:rFonts w:hint="eastAsia" w:ascii="宋体" w:hAnsi="宋体" w:cs="宋体"/>
                <w:sz w:val="24"/>
                <w:szCs w:val="24"/>
                <w:lang w:eastAsia="zh-CN"/>
              </w:rPr>
              <w:t>舞蹈教育</w:t>
            </w:r>
            <w:r>
              <w:rPr>
                <w:rFonts w:hint="eastAsia" w:ascii="宋体" w:hAnsi="宋体" w:eastAsia="宋体" w:cs="宋体"/>
                <w:sz w:val="24"/>
                <w:szCs w:val="24"/>
              </w:rPr>
              <w:t>本科专业教学管理的研究工作。</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6.1.2教学环节质量标准建设情况</w:t>
            </w:r>
          </w:p>
          <w:p>
            <w:pPr>
              <w:pStyle w:val="2"/>
              <w:pageBreakBefore w:val="0"/>
              <w:widowControl w:val="0"/>
              <w:kinsoku/>
              <w:wordWrap/>
              <w:overflowPunct/>
              <w:topLinePunct w:val="0"/>
              <w:autoSpaceDE/>
              <w:autoSpaceDN/>
              <w:bidi w:val="0"/>
              <w:spacing w:beforeLines="0" w:afterLines="0" w:line="360" w:lineRule="auto"/>
              <w:textAlignment w:val="auto"/>
              <w:rPr>
                <w:rFonts w:hint="eastAsia" w:ascii="宋体" w:hAnsi="宋体" w:eastAsia="宋体" w:cs="宋体"/>
                <w:b w:val="0"/>
                <w:bCs w:val="0"/>
                <w:color w:val="000000"/>
                <w:kern w:val="2"/>
                <w:sz w:val="24"/>
                <w:szCs w:val="24"/>
                <w:lang w:val="en-US" w:eastAsia="zh-CN" w:bidi="ar-SA"/>
              </w:rPr>
            </w:pPr>
            <w:r>
              <w:rPr>
                <w:rFonts w:hint="eastAsia"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1</w:t>
            </w:r>
            <w:r>
              <w:rPr>
                <w:rFonts w:hint="eastAsia"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规章制度</w:t>
            </w:r>
            <w:r>
              <w:rPr>
                <w:rFonts w:hint="eastAsia"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教学管理制度规范、完备，严格执行各教学环节质量标准，教学运行平稳有序。建立</w:t>
            </w:r>
            <w:r>
              <w:rPr>
                <w:rFonts w:hint="eastAsia" w:cs="宋体"/>
                <w:b w:val="0"/>
                <w:bCs w:val="0"/>
                <w:color w:val="000000"/>
                <w:kern w:val="2"/>
                <w:sz w:val="24"/>
                <w:szCs w:val="24"/>
                <w:lang w:val="en-US" w:eastAsia="zh-CN" w:bidi="ar-SA"/>
              </w:rPr>
              <w:t>舞蹈教育</w:t>
            </w:r>
            <w:r>
              <w:rPr>
                <w:rFonts w:hint="eastAsia" w:ascii="宋体" w:hAnsi="宋体" w:eastAsia="宋体" w:cs="宋体"/>
                <w:b w:val="0"/>
                <w:bCs w:val="0"/>
                <w:color w:val="000000"/>
                <w:kern w:val="2"/>
                <w:sz w:val="24"/>
                <w:szCs w:val="24"/>
                <w:lang w:val="en-US" w:eastAsia="zh-CN" w:bidi="ar-SA"/>
              </w:rPr>
              <w:t>本科专业教学档案制度。</w:t>
            </w:r>
          </w:p>
          <w:p>
            <w:pPr>
              <w:pageBreakBefore w:val="0"/>
              <w:widowControl w:val="0"/>
              <w:kinsoku/>
              <w:wordWrap/>
              <w:overflowPunct/>
              <w:topLinePunct w:val="0"/>
              <w:autoSpaceDE/>
              <w:autoSpaceDN/>
              <w:bidi w:val="0"/>
              <w:spacing w:line="360" w:lineRule="auto"/>
              <w:ind w:firstLine="480" w:firstLineChars="200"/>
              <w:textAlignment w:val="auto"/>
              <w:rPr>
                <w:rFonts w:hint="default"/>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b w:val="0"/>
                <w:bCs w:val="0"/>
                <w:color w:val="000000"/>
                <w:kern w:val="2"/>
                <w:sz w:val="24"/>
                <w:szCs w:val="24"/>
                <w:lang w:val="en-US" w:eastAsia="zh-CN" w:bidi="ar-SA"/>
              </w:rPr>
              <w:t>质量控制</w:t>
            </w:r>
            <w:r>
              <w:rPr>
                <w:rFonts w:hint="eastAsia" w:ascii="宋体" w:hAnsi="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通过评课、评教的方式，及时了解开设课程与学生知识结构要求及社会需要的契合度，掌握教师的课程讲授水平、课堂组织能力和教学效果。</w:t>
            </w:r>
            <w:r>
              <w:rPr>
                <w:rFonts w:hint="eastAsia" w:ascii="宋体" w:hAnsi="宋体" w:eastAsia="宋体" w:cs="宋体"/>
                <w:color w:val="000000"/>
                <w:sz w:val="24"/>
                <w:szCs w:val="24"/>
              </w:rPr>
              <w:t>充分发挥教学指导委员会的作用，建立日常管理、定点管理和定期管理相结合的质量控制与管理机制，着重加强教学过程的管理和教学质量的监控。主要方式有：①建立领导听课制度。学校、学院各级领导都要不定期地完成听课任务，以便及时掌握教学一线的信息，把好教学质量关；②建立专家督导制度。校院两级均应聘请一些专职教学专家（退休或在职）或行业专家，不定期随堂听课或参与其他教学督导工作，并提出相应的改进建议；③建立同行评议制度。教师之间应形成一种相互学习、交流、竞争、提高的氛国，每个教师都须有一定的听课工作量；④建立学生评教制度。采集学生对教师教学工作的意见和建议，促进教学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pStyle w:val="7"/>
            </w:pPr>
          </w:p>
          <w:p/>
          <w:p/>
        </w:tc>
      </w:tr>
    </w:tbl>
    <w:p>
      <w:r>
        <w:br w:type="page"/>
      </w:r>
    </w:p>
    <w:p>
      <w:pPr>
        <w:pStyle w:val="2"/>
      </w:pP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4955"/>
        <w:gridCol w:w="587"/>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4955"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77" w:type="dxa"/>
            <w:gridSpan w:val="2"/>
            <w:noWrap w:val="0"/>
            <w:vAlign w:val="center"/>
          </w:tcPr>
          <w:p>
            <w:pPr>
              <w:adjustRightInd w:val="0"/>
              <w:snapToGrid w:val="0"/>
              <w:jc w:val="center"/>
              <w:rPr>
                <w:rFonts w:hint="eastAsia" w:eastAsia="宋体"/>
                <w:b/>
                <w:szCs w:val="21"/>
                <w:lang w:eastAsia="zh-CN"/>
              </w:rPr>
            </w:pPr>
            <w:r>
              <w:rPr>
                <w:rFonts w:hint="eastAsia"/>
                <w:b/>
                <w:szCs w:val="21"/>
              </w:rPr>
              <w:t>自评</w:t>
            </w:r>
            <w:r>
              <w:rPr>
                <w:rFonts w:hint="eastAsia"/>
                <w:b/>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4955" w:type="dxa"/>
            <w:vMerge w:val="continue"/>
            <w:noWrap w:val="0"/>
            <w:vAlign w:val="center"/>
          </w:tcPr>
          <w:p>
            <w:pPr>
              <w:adjustRightInd w:val="0"/>
              <w:snapToGrid w:val="0"/>
              <w:jc w:val="center"/>
            </w:pPr>
          </w:p>
        </w:tc>
        <w:tc>
          <w:tcPr>
            <w:tcW w:w="587"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90" w:type="dxa"/>
            <w:noWrap w:val="0"/>
            <w:vAlign w:val="center"/>
          </w:tcPr>
          <w:p>
            <w:pPr>
              <w:adjustRightInd w:val="0"/>
              <w:snapToGrid w:val="0"/>
              <w:jc w:val="center"/>
              <w:rPr>
                <w:rFonts w:hint="default"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76" w:type="dxa"/>
            <w:vMerge w:val="restart"/>
            <w:noWrap w:val="0"/>
            <w:vAlign w:val="center"/>
          </w:tcPr>
          <w:p>
            <w:pPr>
              <w:adjustRightInd w:val="0"/>
              <w:snapToGrid w:val="0"/>
              <w:jc w:val="center"/>
              <w:rPr>
                <w:szCs w:val="21"/>
              </w:rPr>
            </w:pPr>
            <w:r>
              <w:rPr>
                <w:rFonts w:hint="eastAsia"/>
                <w:szCs w:val="21"/>
                <w:lang w:val="en-US" w:eastAsia="zh-CN"/>
              </w:rPr>
              <w:t>6.2质量监控与评价（5分）</w:t>
            </w:r>
          </w:p>
        </w:tc>
        <w:tc>
          <w:tcPr>
            <w:tcW w:w="1559" w:type="dxa"/>
            <w:noWrap w:val="0"/>
            <w:vAlign w:val="center"/>
          </w:tcPr>
          <w:p>
            <w:pPr>
              <w:adjustRightInd w:val="0"/>
              <w:snapToGrid w:val="0"/>
              <w:jc w:val="center"/>
              <w:rPr>
                <w:szCs w:val="21"/>
                <w:highlight w:val="none"/>
              </w:rPr>
            </w:pPr>
            <w:r>
              <w:rPr>
                <w:rFonts w:hint="eastAsia"/>
                <w:szCs w:val="21"/>
                <w:highlight w:val="none"/>
                <w:lang w:val="en-US" w:eastAsia="zh-CN"/>
              </w:rPr>
              <w:t>6.2.1教学质量监控情况（2）</w:t>
            </w:r>
          </w:p>
        </w:tc>
        <w:tc>
          <w:tcPr>
            <w:tcW w:w="49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ascii="仿宋" w:hAnsi="仿宋" w:eastAsia="仿宋"/>
                <w:szCs w:val="21"/>
              </w:rPr>
            </w:pPr>
            <w:r>
              <w:rPr>
                <w:rFonts w:hint="eastAsia" w:ascii="仿宋" w:hAnsi="仿宋" w:eastAsia="仿宋" w:cs="仿宋"/>
                <w:i w:val="0"/>
                <w:iCs w:val="0"/>
                <w:color w:val="000000"/>
                <w:kern w:val="0"/>
                <w:sz w:val="20"/>
                <w:szCs w:val="20"/>
                <w:u w:val="none"/>
                <w:lang w:val="en-US" w:eastAsia="zh-CN" w:bidi="ar"/>
              </w:rPr>
              <w:t>建有聚焦“评学”的闭环质量监控机制,专业常态化开展质量评价并用于持续改进，反馈及时有效</w:t>
            </w:r>
          </w:p>
        </w:tc>
        <w:tc>
          <w:tcPr>
            <w:tcW w:w="587" w:type="dxa"/>
            <w:noWrap w:val="0"/>
            <w:vAlign w:val="top"/>
          </w:tcPr>
          <w:p>
            <w:pPr>
              <w:adjustRightInd w:val="0"/>
              <w:snapToGrid w:val="0"/>
              <w:rPr>
                <w:rFonts w:ascii="仿宋" w:hAnsi="仿宋" w:eastAsia="仿宋"/>
                <w:szCs w:val="21"/>
              </w:rPr>
            </w:pPr>
          </w:p>
        </w:tc>
        <w:tc>
          <w:tcPr>
            <w:tcW w:w="690"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76" w:type="dxa"/>
            <w:vMerge w:val="continue"/>
            <w:noWrap w:val="0"/>
            <w:vAlign w:val="center"/>
          </w:tcPr>
          <w:p>
            <w:pPr>
              <w:adjustRightInd w:val="0"/>
              <w:snapToGrid w:val="0"/>
              <w:jc w:val="center"/>
            </w:pPr>
          </w:p>
        </w:tc>
        <w:tc>
          <w:tcPr>
            <w:tcW w:w="1559" w:type="dxa"/>
            <w:noWrap w:val="0"/>
            <w:vAlign w:val="center"/>
          </w:tcPr>
          <w:p>
            <w:pPr>
              <w:adjustRightInd w:val="0"/>
              <w:snapToGrid w:val="0"/>
              <w:jc w:val="center"/>
              <w:rPr>
                <w:rFonts w:hint="eastAsia"/>
                <w:szCs w:val="21"/>
                <w:highlight w:val="none"/>
              </w:rPr>
            </w:pPr>
            <w:r>
              <w:rPr>
                <w:rFonts w:hint="eastAsia"/>
                <w:szCs w:val="21"/>
                <w:highlight w:val="none"/>
                <w:lang w:val="en-US" w:eastAsia="zh-CN"/>
              </w:rPr>
              <w:t>6.2.2评价机制建设与运行情况（3分）</w:t>
            </w:r>
          </w:p>
        </w:tc>
        <w:tc>
          <w:tcPr>
            <w:tcW w:w="49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szCs w:val="21"/>
              </w:rPr>
            </w:pPr>
            <w:r>
              <w:rPr>
                <w:rFonts w:hint="eastAsia" w:ascii="仿宋" w:hAnsi="仿宋" w:eastAsia="仿宋" w:cs="仿宋"/>
                <w:i w:val="0"/>
                <w:iCs w:val="0"/>
                <w:color w:val="000000"/>
                <w:kern w:val="0"/>
                <w:sz w:val="20"/>
                <w:szCs w:val="20"/>
                <w:u w:val="none"/>
                <w:lang w:val="en-US" w:eastAsia="zh-CN" w:bidi="ar"/>
              </w:rPr>
              <w:t>建有完善的多方评价机制,专业落实到位，效果明显</w:t>
            </w:r>
          </w:p>
        </w:tc>
        <w:tc>
          <w:tcPr>
            <w:tcW w:w="587" w:type="dxa"/>
            <w:noWrap w:val="0"/>
            <w:vAlign w:val="top"/>
          </w:tcPr>
          <w:p>
            <w:pPr>
              <w:adjustRightInd w:val="0"/>
              <w:snapToGrid w:val="0"/>
              <w:rPr>
                <w:rFonts w:hint="eastAsia"/>
                <w:szCs w:val="21"/>
              </w:rPr>
            </w:pPr>
          </w:p>
        </w:tc>
        <w:tc>
          <w:tcPr>
            <w:tcW w:w="690" w:type="dxa"/>
            <w:noWrap w:val="0"/>
            <w:vAlign w:val="top"/>
          </w:tcPr>
          <w:p>
            <w:pPr>
              <w:adjustRightInd w:val="0"/>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5"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4"/>
            <w:noWrap w:val="0"/>
            <w:vAlign w:val="center"/>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4"/>
            <w:noWrap w:val="0"/>
            <w:vAlign w:val="center"/>
          </w:tcPr>
          <w:p>
            <w:pPr>
              <w:adjustRightInd w:val="0"/>
              <w:snapToGrid w:val="0"/>
            </w:pPr>
          </w:p>
          <w:p>
            <w:pPr>
              <w:pStyle w:val="7"/>
            </w:pPr>
          </w:p>
          <w:p/>
          <w:p>
            <w:pPr>
              <w:pStyle w:val="7"/>
            </w:pPr>
          </w:p>
          <w:p/>
        </w:tc>
      </w:tr>
    </w:tbl>
    <w:p>
      <w:r>
        <w:br w:type="page"/>
      </w:r>
    </w:p>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017"/>
        <w:gridCol w:w="13"/>
        <w:gridCol w:w="500"/>
        <w:gridCol w:w="62"/>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17" w:type="dxa"/>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15" w:type="dxa"/>
            <w:gridSpan w:val="4"/>
            <w:noWrap w:val="0"/>
            <w:vAlign w:val="center"/>
          </w:tcPr>
          <w:p>
            <w:pPr>
              <w:adjustRightInd w:val="0"/>
              <w:snapToGrid w:val="0"/>
              <w:jc w:val="center"/>
              <w:rPr>
                <w:rFonts w:hint="eastAsia" w:eastAsia="宋体"/>
                <w:b/>
                <w:szCs w:val="21"/>
                <w:lang w:val="en-US" w:eastAsia="zh-CN"/>
              </w:rPr>
            </w:pPr>
            <w:r>
              <w:rPr>
                <w:rFonts w:hint="eastAsia"/>
                <w:b/>
                <w:szCs w:val="21"/>
              </w:rPr>
              <w:t>自评</w:t>
            </w:r>
            <w:r>
              <w:rPr>
                <w:rFonts w:hint="eastAsia"/>
                <w:b/>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17" w:type="dxa"/>
            <w:vMerge w:val="continue"/>
            <w:noWrap w:val="0"/>
            <w:vAlign w:val="center"/>
          </w:tcPr>
          <w:p>
            <w:pPr>
              <w:adjustRightInd w:val="0"/>
              <w:snapToGrid w:val="0"/>
              <w:jc w:val="center"/>
            </w:pPr>
          </w:p>
        </w:tc>
        <w:tc>
          <w:tcPr>
            <w:tcW w:w="513" w:type="dxa"/>
            <w:gridSpan w:val="2"/>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702" w:type="dxa"/>
            <w:gridSpan w:val="2"/>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6.3</w:t>
            </w:r>
          </w:p>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持续改进</w:t>
            </w:r>
          </w:p>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（5分）</w:t>
            </w:r>
          </w:p>
        </w:tc>
        <w:tc>
          <w:tcPr>
            <w:tcW w:w="1559" w:type="dxa"/>
            <w:noWrap w:val="0"/>
            <w:vAlign w:val="center"/>
          </w:tcPr>
          <w:p>
            <w:pPr>
              <w:adjustRightInd w:val="0"/>
              <w:snapToGrid w:val="0"/>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6.3.1</w:t>
            </w:r>
          </w:p>
          <w:p>
            <w:pPr>
              <w:adjustRightInd w:val="0"/>
              <w:snapToGrid w:val="0"/>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反馈与改进</w:t>
            </w:r>
          </w:p>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highlight w:val="none"/>
                <w:lang w:val="en-US" w:eastAsia="zh-CN"/>
              </w:rPr>
              <w:t>（5分）</w:t>
            </w:r>
          </w:p>
        </w:tc>
        <w:tc>
          <w:tcPr>
            <w:tcW w:w="50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ascii="仿宋" w:hAnsi="仿宋" w:eastAsia="仿宋"/>
                <w:szCs w:val="21"/>
              </w:rPr>
            </w:pPr>
            <w:r>
              <w:rPr>
                <w:rFonts w:hint="eastAsia" w:ascii="仿宋" w:hAnsi="仿宋" w:eastAsia="仿宋" w:cs="仿宋"/>
                <w:i w:val="0"/>
                <w:iCs w:val="0"/>
                <w:color w:val="000000"/>
                <w:kern w:val="0"/>
                <w:sz w:val="20"/>
                <w:szCs w:val="20"/>
                <w:u w:val="none"/>
                <w:lang w:val="en-US" w:eastAsia="zh-CN" w:bidi="ar"/>
              </w:rPr>
              <w:t>专业建有教学各个环节的持续改进机制，执行良好</w:t>
            </w:r>
          </w:p>
        </w:tc>
        <w:tc>
          <w:tcPr>
            <w:tcW w:w="513" w:type="dxa"/>
            <w:gridSpan w:val="2"/>
            <w:noWrap w:val="0"/>
            <w:vAlign w:val="top"/>
          </w:tcPr>
          <w:p>
            <w:pPr>
              <w:adjustRightInd w:val="0"/>
              <w:snapToGrid w:val="0"/>
              <w:rPr>
                <w:rFonts w:ascii="仿宋" w:hAnsi="仿宋" w:eastAsia="仿宋"/>
                <w:szCs w:val="21"/>
              </w:rPr>
            </w:pPr>
          </w:p>
        </w:tc>
        <w:tc>
          <w:tcPr>
            <w:tcW w:w="702" w:type="dxa"/>
            <w:gridSpan w:val="2"/>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2"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6"/>
            <w:noWrap w:val="0"/>
            <w:vAlign w:val="center"/>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6"/>
            <w:noWrap w:val="0"/>
            <w:vAlign w:val="center"/>
          </w:tcPr>
          <w:p>
            <w:pPr>
              <w:adjustRightInd w:val="0"/>
              <w:snapToGrid w:val="0"/>
            </w:pPr>
          </w:p>
          <w:p>
            <w:pPr>
              <w:pStyle w:val="7"/>
            </w:pPr>
          </w:p>
          <w:p/>
          <w:p>
            <w:pPr>
              <w:pStyle w:val="7"/>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restart"/>
            <w:noWrap w:val="0"/>
            <w:vAlign w:val="center"/>
          </w:tcPr>
          <w:p>
            <w:pPr>
              <w:adjustRightInd w:val="0"/>
              <w:snapToGrid w:val="0"/>
              <w:jc w:val="center"/>
              <w:rPr>
                <w:b/>
                <w:szCs w:val="21"/>
              </w:rPr>
            </w:pPr>
            <w:r>
              <w:rPr>
                <w:rFonts w:hint="eastAsia"/>
                <w:b/>
                <w:szCs w:val="21"/>
              </w:rPr>
              <w:t>二级</w:t>
            </w:r>
          </w:p>
          <w:p>
            <w:pPr>
              <w:adjustRightInd w:val="0"/>
              <w:snapToGrid w:val="0"/>
              <w:jc w:val="center"/>
              <w:rPr>
                <w:b/>
                <w:szCs w:val="21"/>
              </w:rPr>
            </w:pPr>
            <w:r>
              <w:rPr>
                <w:rFonts w:hint="eastAsia"/>
                <w:b/>
                <w:szCs w:val="21"/>
              </w:rPr>
              <w:t>指标</w:t>
            </w:r>
          </w:p>
        </w:tc>
        <w:tc>
          <w:tcPr>
            <w:tcW w:w="1559" w:type="dxa"/>
            <w:vMerge w:val="restart"/>
            <w:noWrap w:val="0"/>
            <w:vAlign w:val="center"/>
          </w:tcPr>
          <w:p>
            <w:pPr>
              <w:adjustRightInd w:val="0"/>
              <w:snapToGrid w:val="0"/>
              <w:jc w:val="center"/>
              <w:rPr>
                <w:b/>
                <w:szCs w:val="21"/>
              </w:rPr>
            </w:pPr>
            <w:r>
              <w:rPr>
                <w:rFonts w:hint="eastAsia"/>
                <w:b/>
                <w:szCs w:val="21"/>
              </w:rPr>
              <w:t>主要观测点</w:t>
            </w:r>
          </w:p>
        </w:tc>
        <w:tc>
          <w:tcPr>
            <w:tcW w:w="5030" w:type="dxa"/>
            <w:gridSpan w:val="2"/>
            <w:vMerge w:val="restart"/>
            <w:noWrap w:val="0"/>
            <w:vAlign w:val="center"/>
          </w:tcPr>
          <w:p>
            <w:pPr>
              <w:adjustRightInd w:val="0"/>
              <w:snapToGrid w:val="0"/>
              <w:jc w:val="center"/>
              <w:rPr>
                <w:b/>
                <w:szCs w:val="21"/>
              </w:rPr>
            </w:pPr>
            <w:r>
              <w:rPr>
                <w:rFonts w:hint="eastAsia"/>
                <w:b/>
                <w:szCs w:val="21"/>
              </w:rPr>
              <w:t>指标</w:t>
            </w:r>
            <w:r>
              <w:rPr>
                <w:b/>
                <w:szCs w:val="21"/>
              </w:rPr>
              <w:t>内涵</w:t>
            </w:r>
          </w:p>
        </w:tc>
        <w:tc>
          <w:tcPr>
            <w:tcW w:w="1202" w:type="dxa"/>
            <w:gridSpan w:val="3"/>
            <w:noWrap w:val="0"/>
            <w:vAlign w:val="center"/>
          </w:tcPr>
          <w:p>
            <w:pPr>
              <w:adjustRightInd w:val="0"/>
              <w:snapToGrid w:val="0"/>
              <w:jc w:val="center"/>
              <w:rPr>
                <w:rFonts w:hint="eastAsia" w:eastAsia="宋体"/>
                <w:b/>
                <w:szCs w:val="21"/>
                <w:lang w:eastAsia="zh-CN"/>
              </w:rPr>
            </w:pPr>
            <w:r>
              <w:rPr>
                <w:rFonts w:hint="eastAsia"/>
                <w:b/>
                <w:szCs w:val="21"/>
              </w:rPr>
              <w:t>自评</w:t>
            </w:r>
            <w:r>
              <w:rPr>
                <w:rFonts w:hint="eastAsia"/>
                <w:b/>
                <w:szCs w:val="21"/>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vMerge w:val="continue"/>
            <w:noWrap w:val="0"/>
            <w:vAlign w:val="center"/>
          </w:tcPr>
          <w:p>
            <w:pPr>
              <w:adjustRightInd w:val="0"/>
              <w:snapToGrid w:val="0"/>
              <w:jc w:val="center"/>
            </w:pPr>
          </w:p>
        </w:tc>
        <w:tc>
          <w:tcPr>
            <w:tcW w:w="1559" w:type="dxa"/>
            <w:vMerge w:val="continue"/>
            <w:noWrap w:val="0"/>
            <w:vAlign w:val="center"/>
          </w:tcPr>
          <w:p>
            <w:pPr>
              <w:adjustRightInd w:val="0"/>
              <w:snapToGrid w:val="0"/>
              <w:jc w:val="center"/>
            </w:pPr>
          </w:p>
        </w:tc>
        <w:tc>
          <w:tcPr>
            <w:tcW w:w="5030" w:type="dxa"/>
            <w:gridSpan w:val="2"/>
            <w:vMerge w:val="continue"/>
            <w:noWrap w:val="0"/>
            <w:vAlign w:val="center"/>
          </w:tcPr>
          <w:p>
            <w:pPr>
              <w:adjustRightInd w:val="0"/>
              <w:snapToGrid w:val="0"/>
              <w:jc w:val="center"/>
            </w:pPr>
          </w:p>
        </w:tc>
        <w:tc>
          <w:tcPr>
            <w:tcW w:w="562" w:type="dxa"/>
            <w:gridSpan w:val="2"/>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w:t>
            </w:r>
          </w:p>
        </w:tc>
        <w:tc>
          <w:tcPr>
            <w:tcW w:w="640" w:type="dxa"/>
            <w:noWrap w:val="0"/>
            <w:vAlign w:val="center"/>
          </w:tcPr>
          <w:p>
            <w:pPr>
              <w:adjustRightInd w:val="0"/>
              <w:snapToGrid w:val="0"/>
              <w:jc w:val="center"/>
              <w:rPr>
                <w:rFonts w:hint="eastAsia" w:eastAsia="宋体"/>
                <w:b/>
                <w:szCs w:val="21"/>
                <w:lang w:val="en-US" w:eastAsia="zh-CN"/>
              </w:rPr>
            </w:pPr>
            <w:r>
              <w:rPr>
                <w:rFonts w:hint="eastAsia"/>
                <w:b/>
                <w:szCs w:val="21"/>
                <w:lang w:val="en-US" w:eastAsia="zh-CN"/>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835" w:type="dxa"/>
            <w:gridSpan w:val="2"/>
            <w:noWrap w:val="0"/>
            <w:vAlign w:val="center"/>
          </w:tcPr>
          <w:p>
            <w:pPr>
              <w:adjustRightInd w:val="0"/>
              <w:snapToGrid w:val="0"/>
              <w:jc w:val="center"/>
              <w:rPr>
                <w:rFonts w:hint="eastAsia" w:eastAsia="宋体"/>
                <w:szCs w:val="21"/>
                <w:highlight w:val="none"/>
                <w:lang w:eastAsia="zh-CN"/>
              </w:rPr>
            </w:pPr>
            <w:r>
              <w:rPr>
                <w:rFonts w:hint="eastAsia"/>
                <w:szCs w:val="21"/>
                <w:highlight w:val="none"/>
              </w:rPr>
              <w:t>7.1专业</w:t>
            </w:r>
            <w:r>
              <w:rPr>
                <w:szCs w:val="21"/>
                <w:highlight w:val="none"/>
              </w:rPr>
              <w:t>特色</w:t>
            </w:r>
            <w:r>
              <w:rPr>
                <w:rFonts w:hint="eastAsia"/>
                <w:szCs w:val="21"/>
                <w:highlight w:val="none"/>
                <w:lang w:eastAsia="zh-CN"/>
              </w:rPr>
              <w:t>（</w:t>
            </w:r>
            <w:r>
              <w:rPr>
                <w:rFonts w:hint="eastAsia"/>
                <w:szCs w:val="21"/>
                <w:highlight w:val="none"/>
                <w:lang w:val="en-US" w:eastAsia="zh-CN"/>
              </w:rPr>
              <w:t>5分</w:t>
            </w:r>
            <w:r>
              <w:rPr>
                <w:rFonts w:hint="eastAsia"/>
                <w:szCs w:val="21"/>
                <w:highlight w:val="none"/>
                <w:lang w:eastAsia="zh-CN"/>
              </w:rPr>
              <w:t>）</w:t>
            </w:r>
          </w:p>
        </w:tc>
        <w:tc>
          <w:tcPr>
            <w:tcW w:w="5030" w:type="dxa"/>
            <w:gridSpan w:val="2"/>
            <w:noWrap w:val="0"/>
            <w:vAlign w:val="center"/>
          </w:tcPr>
          <w:p>
            <w:pPr>
              <w:adjustRightInd w:val="0"/>
              <w:snapToGrid w:val="0"/>
              <w:rPr>
                <w:rFonts w:ascii="仿宋" w:hAnsi="仿宋" w:eastAsia="仿宋"/>
                <w:szCs w:val="21"/>
                <w:highlight w:val="none"/>
              </w:rPr>
            </w:pPr>
            <w:r>
              <w:rPr>
                <w:rFonts w:hint="eastAsia" w:ascii="华文仿宋" w:hAnsi="华文仿宋" w:eastAsia="华文仿宋" w:cs="华文仿宋"/>
                <w:sz w:val="21"/>
                <w:szCs w:val="21"/>
                <w:highlight w:val="none"/>
              </w:rPr>
              <w:t>指在专业建设理念、人才培养模式、师资队伍建设、产学合作教育、课程开发与建设、学生能力培养、教学管理与改革等方面开展的特色工作及取得的标志性成果，得到社会广泛认可</w:t>
            </w:r>
          </w:p>
        </w:tc>
        <w:tc>
          <w:tcPr>
            <w:tcW w:w="562" w:type="dxa"/>
            <w:gridSpan w:val="2"/>
            <w:noWrap w:val="0"/>
            <w:vAlign w:val="top"/>
          </w:tcPr>
          <w:p>
            <w:pPr>
              <w:adjustRightInd w:val="0"/>
              <w:snapToGrid w:val="0"/>
              <w:rPr>
                <w:rFonts w:ascii="仿宋" w:hAnsi="仿宋" w:eastAsia="仿宋"/>
                <w:szCs w:val="21"/>
              </w:rPr>
            </w:pPr>
          </w:p>
        </w:tc>
        <w:tc>
          <w:tcPr>
            <w:tcW w:w="640" w:type="dxa"/>
            <w:noWrap w:val="0"/>
            <w:vAlign w:val="top"/>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2" w:hRule="atLeast"/>
        </w:trPr>
        <w:tc>
          <w:tcPr>
            <w:tcW w:w="1276" w:type="dxa"/>
            <w:noWrap w:val="0"/>
            <w:vAlign w:val="center"/>
          </w:tcPr>
          <w:p>
            <w:pPr>
              <w:adjustRightInd w:val="0"/>
              <w:snapToGrid w:val="0"/>
              <w:jc w:val="center"/>
              <w:rPr>
                <w:szCs w:val="21"/>
              </w:rPr>
            </w:pPr>
            <w:r>
              <w:rPr>
                <w:rFonts w:hint="eastAsia"/>
                <w:szCs w:val="21"/>
              </w:rPr>
              <w:t>自评</w:t>
            </w:r>
            <w:r>
              <w:rPr>
                <w:rFonts w:hint="eastAsia"/>
                <w:szCs w:val="21"/>
                <w:lang w:val="en-US" w:eastAsia="zh-CN"/>
              </w:rPr>
              <w:t>分析及</w:t>
            </w:r>
            <w:r>
              <w:rPr>
                <w:szCs w:val="21"/>
              </w:rPr>
              <w:t>说明</w:t>
            </w:r>
          </w:p>
        </w:tc>
        <w:tc>
          <w:tcPr>
            <w:tcW w:w="7791" w:type="dxa"/>
            <w:gridSpan w:val="6"/>
            <w:noWrap w:val="0"/>
            <w:vAlign w:val="center"/>
          </w:tcPr>
          <w:p>
            <w:pPr>
              <w:adjustRightInd w:val="0"/>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76" w:type="dxa"/>
            <w:noWrap w:val="0"/>
            <w:vAlign w:val="center"/>
          </w:tcPr>
          <w:p>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6"/>
            <w:noWrap w:val="0"/>
            <w:vAlign w:val="center"/>
          </w:tcPr>
          <w:p>
            <w:pPr>
              <w:adjustRightInd w:val="0"/>
              <w:snapToGrid w:val="0"/>
            </w:pPr>
          </w:p>
          <w:p>
            <w:pPr>
              <w:pStyle w:val="7"/>
            </w:pPr>
          </w:p>
          <w:p/>
          <w:p/>
        </w:tc>
      </w:tr>
    </w:tbl>
    <w:p>
      <w:pPr>
        <w:sectPr>
          <w:headerReference r:id="rId3" w:type="default"/>
          <w:footerReference r:id="rId5" w:type="default"/>
          <w:headerReference r:id="rId4" w:type="even"/>
          <w:footerReference r:id="rId6" w:type="even"/>
          <w:pgSz w:w="11906" w:h="16838"/>
          <w:pgMar w:top="1361" w:right="1440" w:bottom="1361" w:left="1440" w:header="851" w:footer="1587" w:gutter="0"/>
          <w:cols w:space="720" w:num="1"/>
          <w:docGrid w:type="lines" w:linePitch="322" w:charSpace="0"/>
        </w:sectPr>
      </w:pPr>
    </w:p>
    <w:p/>
    <w:sectPr>
      <w:headerReference r:id="rId7" w:type="default"/>
      <w:footerReference r:id="rId9" w:type="default"/>
      <w:headerReference r:id="rId8" w:type="even"/>
      <w:footerReference r:id="rId10" w:type="even"/>
      <w:pgSz w:w="16838" w:h="11906" w:orient="landscape"/>
      <w:pgMar w:top="1440" w:right="1361" w:bottom="1440" w:left="1361" w:header="851" w:footer="1587" w:gutter="0"/>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rFonts w:hint="eastAsia"/>
        <w:sz w:val="28"/>
        <w:szCs w:val="28"/>
      </w:rPr>
      <w:t xml:space="preserve">  —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rFonts w:hint="eastAsia"/>
        <w:sz w:val="28"/>
        <w:szCs w:val="28"/>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rFonts w:hint="eastAsia"/>
        <w:sz w:val="28"/>
        <w:szCs w:val="28"/>
      </w:rPr>
      <w:t xml:space="preserve">  —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11FD7"/>
    <w:multiLevelType w:val="singleLevel"/>
    <w:tmpl w:val="CD811FD7"/>
    <w:lvl w:ilvl="0" w:tentative="0">
      <w:start w:val="1"/>
      <w:numFmt w:val="decimal"/>
      <w:suff w:val="nothing"/>
      <w:lvlText w:val="（%1）"/>
      <w:lvlJc w:val="left"/>
    </w:lvl>
  </w:abstractNum>
  <w:abstractNum w:abstractNumId="1">
    <w:nsid w:val="14B8BA18"/>
    <w:multiLevelType w:val="singleLevel"/>
    <w:tmpl w:val="14B8BA18"/>
    <w:lvl w:ilvl="0" w:tentative="0">
      <w:start w:val="1"/>
      <w:numFmt w:val="decimal"/>
      <w:suff w:val="nothing"/>
      <w:lvlText w:val="（%1）"/>
      <w:lvlJc w:val="left"/>
    </w:lvl>
  </w:abstractNum>
  <w:abstractNum w:abstractNumId="2">
    <w:nsid w:val="1DB20FD0"/>
    <w:multiLevelType w:val="singleLevel"/>
    <w:tmpl w:val="1DB20FD0"/>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MDE3MDBhMjZmMDgzYmU4ZjI2Nzg2ZmJkODEwZGUifQ=="/>
  </w:docVars>
  <w:rsids>
    <w:rsidRoot w:val="00000000"/>
    <w:rsid w:val="0C3F753F"/>
    <w:rsid w:val="113C371A"/>
    <w:rsid w:val="11493F7A"/>
    <w:rsid w:val="134E1D41"/>
    <w:rsid w:val="14F77B08"/>
    <w:rsid w:val="2A196F80"/>
    <w:rsid w:val="2D9139BA"/>
    <w:rsid w:val="2D9A70B0"/>
    <w:rsid w:val="2DC21DC5"/>
    <w:rsid w:val="2F1E46E3"/>
    <w:rsid w:val="30F177FD"/>
    <w:rsid w:val="36DD4210"/>
    <w:rsid w:val="382B1AA8"/>
    <w:rsid w:val="49A34DE0"/>
    <w:rsid w:val="4B252156"/>
    <w:rsid w:val="4B775B45"/>
    <w:rsid w:val="52213BCD"/>
    <w:rsid w:val="676C59B9"/>
    <w:rsid w:val="6A9135FB"/>
    <w:rsid w:val="6E182D60"/>
    <w:rsid w:val="70514CCA"/>
    <w:rsid w:val="734D4ED5"/>
    <w:rsid w:val="77F365BC"/>
    <w:rsid w:val="78D27C2B"/>
    <w:rsid w:val="7CDD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340" w:beforeLines="0" w:beforeAutospacing="0" w:after="330" w:afterLines="0" w:afterAutospacing="0" w:line="240" w:lineRule="auto"/>
      <w:jc w:val="center"/>
      <w:outlineLvl w:val="0"/>
    </w:pPr>
    <w:rPr>
      <w:rFonts w:ascii="Times New Roman" w:hAnsi="Times New Roman" w:eastAsia="黑体" w:cs="Times New Roman"/>
      <w:b/>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华文行楷" w:cs="Times New Roman"/>
      <w:b/>
      <w:sz w:val="28"/>
    </w:rPr>
  </w:style>
  <w:style w:type="paragraph" w:styleId="2">
    <w:name w:val="heading 3"/>
    <w:basedOn w:val="1"/>
    <w:next w:val="1"/>
    <w:qFormat/>
    <w:uiPriority w:val="0"/>
    <w:pPr>
      <w:keepNext/>
      <w:keepLines/>
      <w:adjustRightInd w:val="0"/>
      <w:snapToGrid w:val="0"/>
      <w:spacing w:beforeLines="25" w:afterLines="25" w:line="300" w:lineRule="auto"/>
      <w:ind w:firstLine="200" w:firstLineChars="200"/>
      <w:outlineLvl w:val="2"/>
    </w:pPr>
    <w:rPr>
      <w:rFonts w:ascii="宋体" w:hAnsi="宋体"/>
      <w:b/>
      <w:bCs/>
      <w:color w:val="000000"/>
      <w:kern w:val="0"/>
      <w:sz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w:link w:val="3"/>
    <w:qFormat/>
    <w:uiPriority w:val="0"/>
    <w:rPr>
      <w:rFonts w:ascii="Times New Roman" w:hAnsi="Times New Roman" w:eastAsia="黑体" w:cs="Times New Roman"/>
      <w:b/>
      <w:kern w:val="44"/>
      <w:sz w:val="32"/>
    </w:rPr>
  </w:style>
  <w:style w:type="character" w:customStyle="1" w:styleId="12">
    <w:name w:val="font01"/>
    <w:basedOn w:val="10"/>
    <w:qFormat/>
    <w:uiPriority w:val="0"/>
    <w:rPr>
      <w:rFonts w:hint="eastAsia" w:ascii="宋体" w:hAnsi="宋体" w:eastAsia="宋体" w:cs="宋体"/>
      <w:color w:val="FF0000"/>
      <w:sz w:val="20"/>
      <w:szCs w:val="20"/>
      <w:u w:val="none"/>
    </w:rPr>
  </w:style>
  <w:style w:type="paragraph" w:customStyle="1" w:styleId="13">
    <w:name w:val="Char1 Char Char Char Char Char Char Char"/>
    <w:basedOn w:val="1"/>
    <w:qFormat/>
    <w:uiPriority w:val="0"/>
    <w:rPr>
      <w:rFonts w:ascii="Tahoma" w:hAnsi="Tahoma"/>
      <w:sz w:val="24"/>
      <w:szCs w:val="20"/>
    </w:rPr>
  </w:style>
  <w:style w:type="character" w:customStyle="1" w:styleId="14">
    <w:name w:val="font81"/>
    <w:basedOn w:val="10"/>
    <w:qFormat/>
    <w:uiPriority w:val="0"/>
    <w:rPr>
      <w:rFonts w:hint="eastAsia" w:ascii="仿宋" w:hAnsi="仿宋" w:eastAsia="仿宋" w:cs="仿宋"/>
      <w:color w:val="000000"/>
      <w:sz w:val="20"/>
      <w:szCs w:val="20"/>
      <w:u w:val="none"/>
    </w:rPr>
  </w:style>
  <w:style w:type="paragraph" w:customStyle="1" w:styleId="1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15170</Words>
  <Characters>16110</Characters>
  <Lines>0</Lines>
  <Paragraphs>0</Paragraphs>
  <TotalTime>36</TotalTime>
  <ScaleCrop>false</ScaleCrop>
  <LinksUpToDate>false</LinksUpToDate>
  <CharactersWithSpaces>16126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2022-11-18T05:18:00Z</dcterms:created>
  <dc:creator>SWL</dc:creator>
  <cp:lastModifiedBy>蔡乐</cp:lastModifiedBy>
  <cp:lastPrinted>2023-03-22T11:44:01Z</cp:lastPrinted>
  <dcterms:modified xsi:type="dcterms:W3CDTF">2023-03-22T11:58:45Z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9B5B19AD57934894A2C2AAB593922E4C</vt:lpwstr>
  </property>
</Properties>
</file>